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_rels/document.xml.rels" ContentType="application/vnd.openxmlformats-package.relationships+xml"/>
  <Override PartName="/word/footer6.xml" ContentType="application/vnd.openxmlformats-officedocument.wordprocessingml.footer+xml"/>
  <Override PartName="/word/header8.xml" ContentType="application/vnd.openxmlformats-officedocument.wordprocessingml.header+xml"/>
  <Override PartName="/word/header7.xml" ContentType="application/vnd.openxmlformats-officedocument.wordprocessingml.header+xml"/>
  <Override PartName="/word/styles.xml" ContentType="application/vnd.openxmlformats-officedocument.wordprocessingml.styles+xml"/>
  <Override PartName="/word/footer5.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header6.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numbering.xml" ContentType="application/vnd.openxmlformats-officedocument.wordprocessingml.numbering+xml"/>
  <Override PartName="/word/footer9.xml" ContentType="application/vnd.openxmlformats-officedocument.wordprocessingml.footer+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header3.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customXml/_rels/item1.xml.rels" ContentType="application/vnd.openxmlformats-package.relationships+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itemProps3.xml" ContentType="application/vnd.openxmlformats-officedocument.customXmlProperties+xml"/>
  <Override PartName="/customXml/item3.xml" ContentType="application/xml"/>
  <Override PartName="/customXml/item4.xml" ContentType="application/xml"/>
  <Override PartName="/customXml/itemProps1.xml" ContentType="application/vnd.openxmlformats-officedocument.customXmlProperties+xml"/>
  <Override PartName="/customXml/itemProps4.xml" ContentType="application/vnd.openxmlformats-officedocument.customXmlProperties+xml"/>
  <Override PartName="/customXml/item1.xml" ContentType="application/xml"/>
  <Override PartName="/customXml/item2.xml" ContentType="application/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6926" w:leader="none"/>
        </w:tabs>
        <w:jc w:val="center"/>
        <w:rPr>
          <w:b/>
          <w:sz w:val="24"/>
          <w:szCs w:val="24"/>
        </w:rPr>
      </w:pPr>
      <w:r>
        <w:rPr>
          <w:b/>
          <w:bCs/>
          <w:sz w:val="24"/>
          <w:szCs w:val="24"/>
        </w:rPr>
        <w:t>Договор поставки</w:t>
      </w:r>
    </w:p>
    <w:p>
      <w:pPr>
        <w:pStyle w:val="Normal"/>
        <w:shd w:val="clear" w:color="auto" w:fill="FFFFFF"/>
        <w:rPr>
          <w:b/>
          <w:bCs/>
          <w:sz w:val="24"/>
          <w:szCs w:val="24"/>
        </w:rPr>
      </w:pPr>
      <w:r>
        <w:rPr>
          <w:b/>
          <w:bCs/>
          <w:sz w:val="24"/>
          <w:szCs w:val="24"/>
        </w:rPr>
      </w:r>
    </w:p>
    <w:p>
      <w:pPr>
        <w:pStyle w:val="Normal"/>
        <w:shd w:val="clear" w:color="auto" w:fill="FFFFFF"/>
        <w:tabs>
          <w:tab w:val="clear" w:pos="708"/>
          <w:tab w:val="right" w:pos="9639" w:leader="none"/>
        </w:tabs>
        <w:jc w:val="right"/>
        <w:rPr>
          <w:bCs/>
          <w:sz w:val="24"/>
          <w:szCs w:val="24"/>
        </w:rPr>
      </w:pPr>
      <w:r>
        <w:rPr>
          <w:bCs/>
          <w:sz w:val="24"/>
          <w:szCs w:val="24"/>
        </w:rPr>
        <w:t>г. Чайковский</w:t>
        <w:tab/>
        <w:t xml:space="preserve">   «___» _________ 2026 г.</w:t>
      </w:r>
    </w:p>
    <w:p>
      <w:pPr>
        <w:pStyle w:val="Normal"/>
        <w:shd w:val="clear" w:color="auto" w:fill="FFFFFF"/>
        <w:tabs>
          <w:tab w:val="clear" w:pos="708"/>
          <w:tab w:val="right" w:pos="9639" w:leader="none"/>
        </w:tabs>
        <w:jc w:val="right"/>
        <w:rPr>
          <w:bCs/>
          <w:sz w:val="24"/>
          <w:szCs w:val="24"/>
        </w:rPr>
      </w:pPr>
      <w:r>
        <w:rPr>
          <w:bCs/>
          <w:sz w:val="24"/>
          <w:szCs w:val="24"/>
        </w:rPr>
      </w:r>
    </w:p>
    <w:p>
      <w:pPr>
        <w:pStyle w:val="Normal"/>
        <w:ind w:firstLine="709"/>
        <w:jc w:val="both"/>
        <w:rPr>
          <w:sz w:val="24"/>
          <w:szCs w:val="24"/>
        </w:rPr>
      </w:pPr>
      <w:r>
        <w:rPr>
          <w:b/>
          <w:sz w:val="24"/>
          <w:szCs w:val="24"/>
        </w:rPr>
        <w:t xml:space="preserve">Публичное акционерное общество «Федеральная гидрогенерирующая компания – РусГидро» </w:t>
      </w:r>
      <w:r>
        <w:rPr>
          <w:sz w:val="24"/>
          <w:szCs w:val="24"/>
        </w:rPr>
        <w:t>(ПАО «РусГидро»)</w:t>
      </w:r>
      <w:r>
        <w:rPr>
          <w:spacing w:val="2"/>
          <w:sz w:val="24"/>
          <w:szCs w:val="24"/>
        </w:rPr>
        <w:t xml:space="preserve">, (далее – </w:t>
      </w:r>
      <w:r>
        <w:rPr>
          <w:sz w:val="24"/>
          <w:szCs w:val="24"/>
        </w:rPr>
        <w:t>«Покупатель»), в лице директора филиала ПАО «РусГидро» - «Воткинская ГЭС» Бякова Алексея Георгиевича</w:t>
      </w:r>
      <w:r>
        <w:rPr>
          <w:spacing w:val="4"/>
          <w:sz w:val="24"/>
          <w:szCs w:val="24"/>
        </w:rPr>
        <w:t>, действующего на основании доверенности № 9458 от 25.12.2024г.(МЧД 448dddfb-cef0-439a-a92c-a8528d058924 от 15.01.2025г.), с одной стороны, и</w:t>
      </w:r>
      <w:r>
        <w:rPr>
          <w:spacing w:val="10"/>
          <w:sz w:val="24"/>
          <w:szCs w:val="24"/>
        </w:rPr>
        <w:t>_____________</w:t>
      </w:r>
      <w:r>
        <w:rPr>
          <w:bCs/>
          <w:sz w:val="24"/>
          <w:szCs w:val="24"/>
        </w:rPr>
        <w:t xml:space="preserve"> </w:t>
      </w:r>
      <w:r>
        <w:rPr>
          <w:sz w:val="24"/>
          <w:szCs w:val="24"/>
        </w:rPr>
        <w:t xml:space="preserve">(далее – «Поставщик»), в лице __________, действующего на основании _________, с другой стороны, </w:t>
      </w:r>
    </w:p>
    <w:p>
      <w:pPr>
        <w:pStyle w:val="Normal"/>
        <w:ind w:firstLine="709"/>
        <w:jc w:val="both"/>
        <w:rPr>
          <w:spacing w:val="10"/>
          <w:sz w:val="24"/>
          <w:szCs w:val="24"/>
        </w:rPr>
      </w:pPr>
      <w:r>
        <w:rPr>
          <w:sz w:val="24"/>
          <w:szCs w:val="24"/>
        </w:rPr>
        <w:t xml:space="preserve">совместно в дальнейшем именуемые «Стороны», а по отдельности – «Сторона», </w:t>
        <w:br/>
      </w:r>
      <w:r>
        <w:rPr>
          <w:sz w:val="24"/>
          <w:szCs w:val="24"/>
          <w:lang w:eastAsia="en-US"/>
        </w:rPr>
        <w:t>по результатам проведенного Покупателем состязательного отбора по лоту № 30-ЭКСП-БПД</w:t>
      </w:r>
      <w:r>
        <w:rPr>
          <w:bCs/>
          <w:sz w:val="26"/>
          <w:szCs w:val="26"/>
        </w:rPr>
        <w:t>-2026-ВотГЭС,</w:t>
      </w:r>
      <w:r>
        <w:rPr>
          <w:sz w:val="24"/>
          <w:szCs w:val="24"/>
          <w:lang w:eastAsia="en-US"/>
        </w:rPr>
        <w:t xml:space="preserve">  на основании протокола закупочной комиссии от «__» ______ 2026г. № _____ </w:t>
      </w:r>
      <w:r>
        <w:rPr>
          <w:sz w:val="24"/>
          <w:szCs w:val="24"/>
        </w:rPr>
        <w:t>заключили настоящий договор поставки (далее – «Договор») о нижеследующем:</w:t>
      </w:r>
    </w:p>
    <w:p>
      <w:pPr>
        <w:pStyle w:val="Normal"/>
        <w:rPr>
          <w:bCs/>
          <w:sz w:val="24"/>
          <w:szCs w:val="24"/>
        </w:rPr>
      </w:pPr>
      <w:r>
        <w:rPr>
          <w:bCs/>
          <w:sz w:val="24"/>
          <w:szCs w:val="24"/>
        </w:rPr>
      </w:r>
    </w:p>
    <w:p>
      <w:pPr>
        <w:pStyle w:val="Normal"/>
        <w:jc w:val="center"/>
        <w:rPr>
          <w:b/>
          <w:bCs/>
          <w:sz w:val="24"/>
          <w:szCs w:val="24"/>
        </w:rPr>
      </w:pPr>
      <w:r>
        <w:rPr>
          <w:b/>
          <w:bCs/>
          <w:sz w:val="24"/>
          <w:szCs w:val="24"/>
        </w:rPr>
        <w:t>Термины и определения</w:t>
      </w:r>
    </w:p>
    <w:p>
      <w:pPr>
        <w:pStyle w:val="Normal"/>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tabs>
          <w:tab w:val="clear" w:pos="708"/>
          <w:tab w:val="left" w:pos="0" w:leader="none"/>
        </w:tabs>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ТОРГ-2 «Акт об установленном расхождении по количеству и качеству при приемке товарно-материальных ценностей» и № ТОРГ</w:t>
      </w:r>
      <w:r>
        <w:rPr>
          <w:sz w:val="24"/>
          <w:szCs w:val="24"/>
        </w:rPr>
        <w:t>-</w:t>
      </w:r>
      <w:r>
        <w:rPr>
          <w:sz w:val="24"/>
          <w:szCs w:val="24"/>
          <w:lang w:eastAsia="en-US"/>
        </w:rPr>
        <w:t xml:space="preserve">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tabs>
          <w:tab w:val="clear" w:pos="708"/>
          <w:tab w:val="left" w:pos="567" w:leader="none"/>
          <w:tab w:val="left" w:pos="1134" w:leader="none"/>
        </w:tabs>
        <w:ind w:left="0" w:firstLine="708"/>
        <w:jc w:val="both"/>
        <w:textAlignment w:val="baseline"/>
        <w:rPr>
          <w:sz w:val="24"/>
          <w:szCs w:val="24"/>
          <w:lang w:eastAsia="en-US"/>
        </w:rPr>
      </w:pPr>
      <w:r>
        <w:rPr>
          <w:b/>
          <w:sz w:val="24"/>
          <w:szCs w:val="24"/>
          <w:lang w:eastAsia="en-US"/>
        </w:rPr>
        <w:t xml:space="preserve"> </w:t>
      </w: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tabs>
          <w:tab w:val="clear" w:pos="708"/>
          <w:tab w:val="left" w:pos="0" w:leader="none"/>
        </w:tabs>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tabs>
          <w:tab w:val="clear" w:pos="708"/>
          <w:tab w:val="left" w:pos="0" w:leader="none"/>
        </w:tabs>
        <w:ind w:left="0" w:firstLine="709"/>
        <w:jc w:val="both"/>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tabs>
          <w:tab w:val="clear" w:pos="708"/>
          <w:tab w:val="left" w:pos="0" w:leader="none"/>
        </w:tabs>
        <w:ind w:left="0" w:firstLine="709"/>
        <w:jc w:val="both"/>
        <w:textAlignment w:val="baseline"/>
        <w:rPr>
          <w:b/>
          <w:sz w:val="24"/>
          <w:szCs w:val="24"/>
          <w:lang w:eastAsia="en-US"/>
        </w:rPr>
      </w:pPr>
      <w:r>
        <w:rPr>
          <w:b/>
          <w:sz w:val="24"/>
          <w:szCs w:val="24"/>
          <w:lang w:eastAsia="en-US"/>
        </w:rPr>
        <w:t xml:space="preserve">«УПД» </w:t>
      </w:r>
      <w:r>
        <w:rPr>
          <w:sz w:val="24"/>
          <w:szCs w:val="24"/>
          <w:lang w:eastAsia="en-US"/>
        </w:rPr>
        <w:t>–</w:t>
      </w:r>
      <w:r>
        <w:rPr>
          <w:b/>
          <w:sz w:val="24"/>
          <w:szCs w:val="24"/>
          <w:lang w:eastAsia="en-US"/>
        </w:rPr>
        <w:t xml:space="preserve"> </w:t>
      </w:r>
      <w:r>
        <w:rPr>
          <w:sz w:val="24"/>
          <w:szCs w:val="24"/>
          <w:lang w:eastAsia="en-US"/>
        </w:rPr>
        <w:t>универсальный передаточный документ, оформляемый по унифицированной форме, утвержденной письмом Федеральной налоговой службы от 21 октября 2013 года № ММВ-20-3/96, подписываемый Сторонами после завершения приемки Товара по количеству, качеству и комплектности.</w:t>
      </w:r>
    </w:p>
    <w:p>
      <w:pPr>
        <w:pStyle w:val="ListParagraph"/>
        <w:tabs>
          <w:tab w:val="clear" w:pos="708"/>
          <w:tab w:val="left" w:pos="0" w:leader="none"/>
        </w:tabs>
        <w:ind w:left="0" w:firstLine="709"/>
        <w:jc w:val="both"/>
        <w:textAlignment w:val="baseline"/>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Российской Федерации в случаях, установленных Договором. </w:t>
      </w:r>
    </w:p>
    <w:p>
      <w:pPr>
        <w:pStyle w:val="ListParagraph"/>
        <w:tabs>
          <w:tab w:val="clear" w:pos="708"/>
          <w:tab w:val="left" w:pos="0" w:leader="none"/>
        </w:tabs>
        <w:ind w:left="0" w:firstLine="709"/>
        <w:jc w:val="both"/>
        <w:textAlignment w:val="baseline"/>
        <w:rPr>
          <w:sz w:val="24"/>
          <w:szCs w:val="24"/>
          <w:lang w:eastAsia="en-US"/>
        </w:rPr>
      </w:pPr>
      <w:r>
        <w:rPr>
          <w:b/>
          <w:sz w:val="24"/>
          <w:szCs w:val="24"/>
          <w:lang w:eastAsia="en-US"/>
        </w:rPr>
        <w:t>«Партия Товара»</w:t>
      </w:r>
      <w:r>
        <w:rPr>
          <w:sz w:val="24"/>
          <w:szCs w:val="24"/>
          <w:lang w:eastAsia="en-US"/>
        </w:rPr>
        <w:t xml:space="preserve"> – часть Товара, единовременно поставляемая Покупателю Поставщиком, объем, состав и стоимость которой определяется Спецификацией, являющейся приложением к Договору.</w:t>
      </w:r>
    </w:p>
    <w:p>
      <w:pPr>
        <w:pStyle w:val="Heading3"/>
        <w:keepNext w:val="false"/>
        <w:tabs>
          <w:tab w:val="clear" w:pos="708"/>
          <w:tab w:val="left" w:pos="0" w:leader="none"/>
        </w:tabs>
        <w:spacing w:before="0" w:after="0"/>
        <w:ind w:firstLine="709"/>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 xml:space="preserve"> </w:t>
      </w:r>
      <w:r>
        <w:rPr>
          <w:rFonts w:ascii="Times New Roman" w:hAnsi="Times New Roman"/>
          <w:color w:val="auto"/>
          <w:sz w:val="24"/>
          <w:szCs w:val="24"/>
          <w:lang w:val="ru-RU" w:eastAsia="en-US"/>
        </w:rPr>
        <w:t>«Применимое право»</w:t>
      </w:r>
      <w:r>
        <w:rPr>
          <w:rFonts w:ascii="Times New Roman" w:hAnsi="Times New Roman"/>
          <w:b w:val="false"/>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ind w:firstLine="708"/>
        <w:jc w:val="both"/>
        <w:rPr>
          <w:sz w:val="24"/>
          <w:szCs w:val="24"/>
          <w:lang w:eastAsia="en-US"/>
        </w:rPr>
      </w:pPr>
      <w:r>
        <w:rPr>
          <w:b/>
          <w:sz w:val="24"/>
          <w:szCs w:val="24"/>
          <w:lang w:eastAsia="en-US"/>
        </w:rPr>
        <w:t xml:space="preserve"> </w:t>
      </w: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tabs>
          <w:tab w:val="clear" w:pos="708"/>
          <w:tab w:val="left" w:pos="0" w:leader="none"/>
        </w:tabs>
        <w:spacing w:before="0" w:after="0"/>
        <w:ind w:firstLine="708"/>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«Цена Договора»</w:t>
      </w:r>
      <w:r>
        <w:rPr>
          <w:rFonts w:ascii="Times New Roman" w:hAnsi="Times New Roman"/>
          <w:b w:val="false"/>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pPr>
        <w:pStyle w:val="Normal"/>
        <w:ind w:firstLine="709"/>
        <w:jc w:val="center"/>
        <w:rPr>
          <w:bCs/>
          <w:sz w:val="24"/>
          <w:szCs w:val="24"/>
        </w:rPr>
      </w:pPr>
      <w:r>
        <w:rPr>
          <w:bCs/>
          <w:sz w:val="24"/>
          <w:szCs w:val="24"/>
        </w:rPr>
      </w:r>
    </w:p>
    <w:p>
      <w:pPr>
        <w:pStyle w:val="Normal"/>
        <w:numPr>
          <w:ilvl w:val="0"/>
          <w:numId w:val="2"/>
        </w:numPr>
        <w:tabs>
          <w:tab w:val="clear" w:pos="708"/>
          <w:tab w:val="left" w:pos="284" w:leader="none"/>
        </w:tabs>
        <w:ind w:left="0" w:hanging="0"/>
        <w:jc w:val="center"/>
        <w:rPr>
          <w:b/>
          <w:bCs/>
          <w:sz w:val="24"/>
          <w:szCs w:val="24"/>
        </w:rPr>
      </w:pPr>
      <w:r>
        <w:rPr>
          <w:b/>
          <w:bCs/>
          <w:sz w:val="24"/>
          <w:szCs w:val="24"/>
        </w:rPr>
        <w:t>Предмет Договора</w:t>
      </w:r>
    </w:p>
    <w:p>
      <w:pPr>
        <w:pStyle w:val="Normal"/>
        <w:numPr>
          <w:ilvl w:val="1"/>
          <w:numId w:val="2"/>
        </w:numPr>
        <w:tabs>
          <w:tab w:val="clear" w:pos="708"/>
          <w:tab w:val="left" w:pos="993" w:leader="none"/>
        </w:tabs>
        <w:ind w:left="0" w:firstLine="630"/>
        <w:jc w:val="both"/>
        <w:rPr>
          <w:bCs/>
          <w:sz w:val="24"/>
          <w:szCs w:val="24"/>
        </w:rPr>
      </w:pPr>
      <w:r>
        <w:rPr>
          <w:bCs/>
          <w:sz w:val="24"/>
          <w:szCs w:val="24"/>
        </w:rPr>
        <w:t>Поставщик обязуется в порядке и сроки, установленные Договором, передать в собственность Покупателю</w:t>
      </w:r>
      <w:r>
        <w:rPr>
          <w:rFonts w:eastAsia="Calibri"/>
          <w:bCs/>
          <w:sz w:val="24"/>
          <w:szCs w:val="24"/>
          <w:lang w:eastAsia="en-US"/>
        </w:rPr>
        <w:t xml:space="preserve"> «</w:t>
      </w:r>
      <w:r>
        <w:rPr>
          <w:rFonts w:eastAsia="Calibri"/>
          <w:b/>
          <w:bCs/>
          <w:color w:val="000000" w:themeColor="text1"/>
          <w:sz w:val="24"/>
          <w:szCs w:val="24"/>
          <w:lang w:eastAsia="en-US"/>
        </w:rPr>
        <w:t>ОКПД2 19.20.29.160 Горюче-смазочные материалы для нужд филиала ПАО "РусГидро"-"Воткинская ГЭС</w:t>
      </w:r>
      <w:r>
        <w:rPr>
          <w:rFonts w:eastAsia="Calibri"/>
          <w:b/>
          <w:bCs/>
          <w:i/>
          <w:sz w:val="24"/>
          <w:szCs w:val="24"/>
          <w:lang w:eastAsia="en-US"/>
        </w:rPr>
        <w:t xml:space="preserve">" </w:t>
      </w:r>
      <w:r>
        <w:rPr>
          <w:bCs/>
          <w:sz w:val="24"/>
          <w:szCs w:val="24"/>
        </w:rPr>
        <w:t>(далее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p>
    <w:p>
      <w:pPr>
        <w:pStyle w:val="Normal"/>
        <w:numPr>
          <w:ilvl w:val="1"/>
          <w:numId w:val="2"/>
        </w:numPr>
        <w:tabs>
          <w:tab w:val="clear" w:pos="708"/>
          <w:tab w:val="left" w:pos="0" w:leader="none"/>
          <w:tab w:val="left" w:pos="1134" w:leader="none"/>
        </w:tabs>
        <w:ind w:left="0" w:firstLine="709"/>
        <w:jc w:val="both"/>
        <w:rPr>
          <w:bCs/>
          <w:sz w:val="24"/>
          <w:szCs w:val="24"/>
        </w:rPr>
      </w:pPr>
      <w:r>
        <w:rPr>
          <w:bCs/>
          <w:sz w:val="24"/>
          <w:szCs w:val="24"/>
        </w:rPr>
        <w:t>Поставка Товара по Договору осуществляется для нужд филиала ПАО «РусГидро»-«Воткинская ГЭС».</w:t>
      </w:r>
    </w:p>
    <w:p>
      <w:pPr>
        <w:pStyle w:val="Normal"/>
        <w:numPr>
          <w:ilvl w:val="1"/>
          <w:numId w:val="2"/>
        </w:numPr>
        <w:tabs>
          <w:tab w:val="clear" w:pos="708"/>
          <w:tab w:val="left" w:pos="0" w:leader="none"/>
          <w:tab w:val="left" w:pos="1134" w:leader="none"/>
        </w:tabs>
        <w:ind w:left="0" w:firstLine="709"/>
        <w:jc w:val="both"/>
        <w:rPr>
          <w:bCs/>
          <w:sz w:val="24"/>
          <w:szCs w:val="24"/>
        </w:rPr>
      </w:pPr>
      <w:r>
        <w:rPr>
          <w:bCs/>
          <w:sz w:val="24"/>
          <w:szCs w:val="24"/>
        </w:rPr>
        <w:t xml:space="preserve">Место поставки Товара: </w:t>
      </w:r>
      <w:r>
        <w:rPr>
          <w:sz w:val="24"/>
          <w:szCs w:val="24"/>
        </w:rPr>
        <w:t>617760, Пермский край, г.о. Чайковский, г. Чайковский, тер. Воткинской ГЭС, д.1/2, филиал ПАО «РусГидро»-«Воткинская ГЭС» (далее – «Место поставки»).</w:t>
      </w:r>
    </w:p>
    <w:p>
      <w:pPr>
        <w:pStyle w:val="Normal"/>
        <w:numPr>
          <w:ilvl w:val="1"/>
          <w:numId w:val="2"/>
        </w:numPr>
        <w:tabs>
          <w:tab w:val="clear" w:pos="708"/>
          <w:tab w:val="left" w:pos="0" w:leader="none"/>
          <w:tab w:val="left" w:pos="540" w:leader="none"/>
          <w:tab w:val="left" w:pos="1134" w:leader="none"/>
        </w:tabs>
        <w:ind w:left="0" w:firstLine="709"/>
        <w:jc w:val="both"/>
        <w:rPr>
          <w:bCs/>
          <w:sz w:val="24"/>
          <w:szCs w:val="24"/>
        </w:rPr>
      </w:pPr>
      <w:r>
        <w:rPr>
          <w:bCs/>
          <w:sz w:val="24"/>
          <w:szCs w:val="24"/>
        </w:rPr>
        <w:t>Общий срок поставки Товара:</w:t>
      </w:r>
    </w:p>
    <w:p>
      <w:pPr>
        <w:pStyle w:val="Normal"/>
        <w:numPr>
          <w:ilvl w:val="2"/>
          <w:numId w:val="2"/>
        </w:numPr>
        <w:tabs>
          <w:tab w:val="clear" w:pos="708"/>
          <w:tab w:val="left" w:pos="0" w:leader="none"/>
          <w:tab w:val="left" w:pos="1134" w:leader="none"/>
          <w:tab w:val="left" w:pos="1418" w:leader="none"/>
        </w:tabs>
        <w:ind w:left="0" w:firstLine="709"/>
        <w:jc w:val="both"/>
        <w:rPr>
          <w:bCs/>
          <w:sz w:val="24"/>
          <w:szCs w:val="24"/>
        </w:rPr>
      </w:pPr>
      <w:r>
        <w:rPr>
          <w:bCs/>
          <w:sz w:val="24"/>
          <w:szCs w:val="24"/>
        </w:rPr>
        <w:t>Начало – со дня, следующего за днем заключения Договора.</w:t>
      </w:r>
    </w:p>
    <w:p>
      <w:pPr>
        <w:pStyle w:val="Normal"/>
        <w:numPr>
          <w:ilvl w:val="2"/>
          <w:numId w:val="2"/>
        </w:numPr>
        <w:tabs>
          <w:tab w:val="clear" w:pos="708"/>
          <w:tab w:val="left" w:pos="0" w:leader="none"/>
          <w:tab w:val="left" w:pos="1134" w:leader="none"/>
          <w:tab w:val="left" w:pos="1418" w:leader="none"/>
        </w:tabs>
        <w:ind w:left="0" w:firstLine="709"/>
        <w:jc w:val="both"/>
        <w:rPr>
          <w:bCs/>
          <w:sz w:val="24"/>
          <w:szCs w:val="24"/>
        </w:rPr>
      </w:pPr>
      <w:r>
        <w:rPr>
          <w:bCs/>
          <w:sz w:val="24"/>
          <w:szCs w:val="24"/>
        </w:rPr>
        <w:t>Окончание – в течении 61 календарного дня, со дня, следующего за днем заключения Договора</w:t>
      </w:r>
      <w:bookmarkStart w:id="0" w:name="_GoBack"/>
      <w:bookmarkEnd w:id="0"/>
      <w:r>
        <w:rPr>
          <w:bCs/>
          <w:sz w:val="24"/>
          <w:szCs w:val="24"/>
        </w:rPr>
        <w:t>.</w:t>
      </w:r>
    </w:p>
    <w:p>
      <w:pPr>
        <w:pStyle w:val="ListParagraph"/>
        <w:numPr>
          <w:ilvl w:val="1"/>
          <w:numId w:val="2"/>
        </w:numPr>
        <w:tabs>
          <w:tab w:val="clear" w:pos="708"/>
          <w:tab w:val="left" w:pos="993" w:leader="none"/>
        </w:tabs>
        <w:ind w:left="0" w:firstLine="720"/>
        <w:rPr>
          <w:bCs/>
          <w:sz w:val="24"/>
          <w:szCs w:val="24"/>
        </w:rPr>
      </w:pPr>
      <w:r>
        <w:rPr>
          <w:bCs/>
          <w:sz w:val="24"/>
          <w:szCs w:val="24"/>
        </w:rPr>
        <w:t>Сроки поставки Товара (партий Товара) указаны в Календарном графике поставки Товара (Приложение №4 к Договору) в рамках общих сроков, указанных в пункте 1.4 Договора.</w:t>
      </w:r>
    </w:p>
    <w:p>
      <w:pPr>
        <w:pStyle w:val="ListParagraph"/>
        <w:tabs>
          <w:tab w:val="clear" w:pos="708"/>
          <w:tab w:val="left" w:pos="0" w:leader="none"/>
          <w:tab w:val="left" w:pos="1134" w:leader="none"/>
          <w:tab w:val="left" w:pos="1170" w:leader="none"/>
        </w:tabs>
        <w:jc w:val="both"/>
        <w:rPr>
          <w:bCs/>
          <w:sz w:val="24"/>
          <w:szCs w:val="24"/>
        </w:rPr>
      </w:pPr>
      <w:r>
        <w:rPr>
          <w:bCs/>
          <w:sz w:val="24"/>
          <w:szCs w:val="24"/>
        </w:rPr>
      </w:r>
    </w:p>
    <w:p>
      <w:pPr>
        <w:pStyle w:val="Normal"/>
        <w:tabs>
          <w:tab w:val="clear" w:pos="708"/>
          <w:tab w:val="left" w:pos="1134" w:leader="none"/>
          <w:tab w:val="left" w:pos="1851" w:leader="none"/>
        </w:tabs>
        <w:ind w:left="709" w:hanging="0"/>
        <w:jc w:val="both"/>
        <w:rPr>
          <w:bCs/>
          <w:sz w:val="24"/>
          <w:szCs w:val="24"/>
        </w:rPr>
      </w:pPr>
      <w:r>
        <w:rPr>
          <w:bCs/>
          <w:sz w:val="24"/>
          <w:szCs w:val="24"/>
        </w:rPr>
      </w:r>
    </w:p>
    <w:p>
      <w:pPr>
        <w:pStyle w:val="Normal"/>
        <w:numPr>
          <w:ilvl w:val="0"/>
          <w:numId w:val="2"/>
        </w:numPr>
        <w:tabs>
          <w:tab w:val="clear" w:pos="708"/>
          <w:tab w:val="left" w:pos="284" w:leader="none"/>
        </w:tabs>
        <w:ind w:left="0" w:hanging="0"/>
        <w:jc w:val="center"/>
        <w:rPr>
          <w:b/>
          <w:bCs/>
          <w:sz w:val="24"/>
          <w:szCs w:val="24"/>
        </w:rPr>
      </w:pPr>
      <w:r>
        <w:rPr>
          <w:b/>
          <w:bCs/>
          <w:sz w:val="24"/>
          <w:szCs w:val="24"/>
        </w:rPr>
        <w:t>Цена Договора и порядок расчетов</w:t>
      </w:r>
    </w:p>
    <w:p>
      <w:pPr>
        <w:pStyle w:val="Normal"/>
        <w:numPr>
          <w:ilvl w:val="1"/>
          <w:numId w:val="2"/>
        </w:numPr>
        <w:tabs>
          <w:tab w:val="clear" w:pos="708"/>
          <w:tab w:val="left" w:pos="0" w:leader="none"/>
          <w:tab w:val="left" w:pos="1134" w:leader="none"/>
        </w:tabs>
        <w:ind w:left="0" w:firstLine="709"/>
        <w:jc w:val="both"/>
        <w:rPr>
          <w:bCs/>
          <w:sz w:val="24"/>
          <w:szCs w:val="24"/>
        </w:rPr>
      </w:pPr>
      <w:r>
        <w:rPr>
          <w:sz w:val="24"/>
          <w:szCs w:val="24"/>
        </w:rPr>
        <w:t xml:space="preserve">Цена Договора в соответствии со Спецификацией (Приложение № 1 к Договору) </w:t>
      </w:r>
      <w:r>
        <w:rPr>
          <w:bCs/>
          <w:sz w:val="24"/>
          <w:szCs w:val="24"/>
        </w:rPr>
        <w:t xml:space="preserve">является твердой и составляет </w:t>
      </w:r>
      <w:r>
        <w:rPr>
          <w:b/>
          <w:bCs/>
          <w:sz w:val="24"/>
          <w:szCs w:val="24"/>
        </w:rPr>
        <w:t>_______ (________) рубля ___ копеек</w:t>
      </w:r>
      <w:r>
        <w:rPr>
          <w:bCs/>
          <w:sz w:val="24"/>
          <w:szCs w:val="24"/>
        </w:rPr>
        <w:t xml:space="preserve"> без учета НДС, при этом НДС исчисляется дополнительно по ставке, установленной статьей 164 Налогового Кодекса Российской Федерации (далее – НК РФ).</w:t>
      </w:r>
    </w:p>
    <w:p>
      <w:pPr>
        <w:pStyle w:val="Normal"/>
        <w:numPr>
          <w:ilvl w:val="1"/>
          <w:numId w:val="2"/>
        </w:numPr>
        <w:tabs>
          <w:tab w:val="clear" w:pos="708"/>
          <w:tab w:val="left" w:pos="1134" w:leader="none"/>
        </w:tabs>
        <w:ind w:left="0" w:firstLine="709"/>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pPr>
        <w:pStyle w:val="Normal"/>
        <w:numPr>
          <w:ilvl w:val="2"/>
          <w:numId w:val="2"/>
        </w:numPr>
        <w:tabs>
          <w:tab w:val="clear" w:pos="708"/>
          <w:tab w:val="left" w:pos="1418" w:leader="none"/>
        </w:tabs>
        <w:ind w:left="0" w:firstLine="709"/>
        <w:jc w:val="both"/>
        <w:rPr>
          <w:bCs/>
          <w:sz w:val="24"/>
          <w:szCs w:val="24"/>
        </w:rPr>
      </w:pPr>
      <w:r>
        <w:rPr>
          <w:bCs/>
          <w:sz w:val="24"/>
          <w:szCs w:val="24"/>
        </w:rPr>
        <w:t>производство и / или приобретение Товара;</w:t>
      </w:r>
    </w:p>
    <w:p>
      <w:pPr>
        <w:pStyle w:val="ListParagraph"/>
        <w:numPr>
          <w:ilvl w:val="2"/>
          <w:numId w:val="2"/>
        </w:numPr>
        <w:tabs>
          <w:tab w:val="clear" w:pos="708"/>
          <w:tab w:val="left" w:pos="1418" w:leader="none"/>
        </w:tabs>
        <w:ind w:left="90" w:firstLine="630"/>
        <w:jc w:val="both"/>
        <w:rPr>
          <w:bCs/>
          <w:sz w:val="24"/>
          <w:szCs w:val="24"/>
        </w:rPr>
      </w:pPr>
      <w:r>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pPr>
        <w:pStyle w:val="Normal"/>
        <w:numPr>
          <w:ilvl w:val="2"/>
          <w:numId w:val="2"/>
        </w:numPr>
        <w:tabs>
          <w:tab w:val="clear" w:pos="708"/>
          <w:tab w:val="left" w:pos="1418" w:leader="none"/>
        </w:tabs>
        <w:ind w:left="0" w:firstLine="709"/>
        <w:jc w:val="both"/>
        <w:rPr>
          <w:bCs/>
          <w:sz w:val="24"/>
          <w:szCs w:val="24"/>
        </w:rPr>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pPr>
        <w:pStyle w:val="Normal"/>
        <w:numPr>
          <w:ilvl w:val="2"/>
          <w:numId w:val="2"/>
        </w:numPr>
        <w:tabs>
          <w:tab w:val="clear" w:pos="708"/>
          <w:tab w:val="left" w:pos="1418" w:leader="none"/>
        </w:tabs>
        <w:ind w:left="0" w:firstLine="709"/>
        <w:jc w:val="both"/>
        <w:rPr>
          <w:bCs/>
          <w:sz w:val="24"/>
          <w:szCs w:val="24"/>
        </w:rPr>
      </w:pPr>
      <w:r>
        <w:rPr>
          <w:bCs/>
          <w:sz w:val="24"/>
          <w:szCs w:val="24"/>
        </w:rPr>
        <w:t xml:space="preserve">заработную плату, накладные и командировочные расходы, перемещение и размещение персонала Поставщика; </w:t>
      </w:r>
    </w:p>
    <w:p>
      <w:pPr>
        <w:pStyle w:val="Normal"/>
        <w:numPr>
          <w:ilvl w:val="2"/>
          <w:numId w:val="2"/>
        </w:numPr>
        <w:tabs>
          <w:tab w:val="clear" w:pos="708"/>
          <w:tab w:val="left" w:pos="1418" w:leader="none"/>
        </w:tabs>
        <w:ind w:left="0" w:firstLine="709"/>
        <w:jc w:val="both"/>
        <w:rPr>
          <w:bCs/>
          <w:sz w:val="24"/>
          <w:szCs w:val="24"/>
        </w:rPr>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pPr>
        <w:pStyle w:val="Normal"/>
        <w:numPr>
          <w:ilvl w:val="1"/>
          <w:numId w:val="2"/>
        </w:numPr>
        <w:tabs>
          <w:tab w:val="clear" w:pos="708"/>
          <w:tab w:val="left" w:pos="568" w:leader="none"/>
          <w:tab w:val="left" w:pos="1134" w:leader="none"/>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numPr>
          <w:ilvl w:val="1"/>
          <w:numId w:val="2"/>
        </w:numPr>
        <w:tabs>
          <w:tab w:val="clear" w:pos="708"/>
          <w:tab w:val="left" w:pos="0" w:leader="none"/>
          <w:tab w:val="left" w:pos="1134" w:leader="none"/>
        </w:tabs>
        <w:ind w:left="0" w:firstLine="709"/>
        <w:jc w:val="both"/>
        <w:rPr>
          <w:sz w:val="24"/>
          <w:szCs w:val="24"/>
        </w:rPr>
      </w:pPr>
      <w:r>
        <w:rPr>
          <w:sz w:val="24"/>
          <w:szCs w:val="24"/>
        </w:rPr>
        <w:t xml:space="preserve">Оплата по Договору осуществляется Покупателем в следующем порядке: </w:t>
      </w:r>
    </w:p>
    <w:p>
      <w:pPr>
        <w:pStyle w:val="ListParagraph"/>
        <w:widowControl/>
        <w:numPr>
          <w:ilvl w:val="2"/>
          <w:numId w:val="2"/>
        </w:numPr>
        <w:tabs>
          <w:tab w:val="clear" w:pos="708"/>
          <w:tab w:val="left" w:pos="0" w:leader="none"/>
          <w:tab w:val="left" w:pos="1418" w:leader="none"/>
        </w:tabs>
        <w:ind w:left="0" w:firstLine="709"/>
        <w:jc w:val="both"/>
        <w:rPr>
          <w:sz w:val="24"/>
          <w:szCs w:val="24"/>
        </w:rPr>
      </w:pPr>
      <w:r>
        <w:rPr>
          <w:sz w:val="24"/>
          <w:szCs w:val="24"/>
        </w:rPr>
        <w:t>Авансовые платежи за каждую партию Товара в размере 30 (тридцати) процентов от стоимости соответствующей партии Товара без учета НДС, кроме того НДС по ставке, установленной статьей 164 НК РФ на дату выплаты авансового платежа,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плановой даты поставки партии Товара, и с учетом пункта 2.4.3 Договора.</w:t>
      </w:r>
    </w:p>
    <w:p>
      <w:pPr>
        <w:pStyle w:val="ListParagraph"/>
        <w:widowControl/>
        <w:numPr>
          <w:ilvl w:val="2"/>
          <w:numId w:val="2"/>
        </w:numPr>
        <w:tabs>
          <w:tab w:val="clear" w:pos="708"/>
          <w:tab w:val="left" w:pos="0" w:leader="none"/>
          <w:tab w:val="left" w:pos="1418" w:leader="none"/>
        </w:tabs>
        <w:ind w:left="0" w:firstLine="709"/>
        <w:jc w:val="both"/>
        <w:rPr>
          <w:sz w:val="24"/>
          <w:szCs w:val="24"/>
        </w:rPr>
      </w:pPr>
      <w:r>
        <w:rPr>
          <w:sz w:val="24"/>
          <w:szCs w:val="24"/>
        </w:rPr>
        <w:t xml:space="preserve">Последующие платежи в размере разницы между стоимостью партии Товара без учета НДС, кроме того НДС по ставке, установленной статьей 164 НК РФ на дату подписания Сторонами УПД и суммой ранее уплаченного авансового платежа, выплачиваются Поставщику в течение </w:t>
      </w:r>
      <w:r>
        <w:rPr>
          <w:sz w:val="24"/>
          <w:szCs w:val="24"/>
          <w:highlight w:val="lightGray"/>
        </w:rPr>
        <w:t>20 (двадцати) календарных дней/ 7 (семи) рабочих дней</w:t>
      </w:r>
      <w:r>
        <w:rPr>
          <w:rStyle w:val="FootnoteReference"/>
          <w:sz w:val="24"/>
          <w:szCs w:val="24"/>
          <w:highlight w:val="lightGray"/>
          <w:vertAlign w:val="superscript"/>
        </w:rPr>
        <w:footnoteReference w:id="2"/>
      </w:r>
      <w:r>
        <w:rPr>
          <w:sz w:val="24"/>
          <w:szCs w:val="24"/>
          <w:highlight w:val="lightGray"/>
        </w:rPr>
        <w:t>,</w:t>
      </w:r>
      <w:r>
        <w:rPr>
          <w:sz w:val="24"/>
          <w:szCs w:val="24"/>
        </w:rPr>
        <w:t xml:space="preserve"> с даты подписания Сторонами УПД, на основании счета, выставленного Поставщиком, и с учетом пункта 2.4.3 Договора.</w:t>
      </w:r>
    </w:p>
    <w:p>
      <w:pPr>
        <w:pStyle w:val="ListParagraph"/>
        <w:widowControl/>
        <w:numPr>
          <w:ilvl w:val="2"/>
          <w:numId w:val="2"/>
        </w:numPr>
        <w:tabs>
          <w:tab w:val="clear" w:pos="708"/>
          <w:tab w:val="left" w:pos="0" w:leader="none"/>
          <w:tab w:val="left" w:pos="1418" w:leader="none"/>
        </w:tabs>
        <w:ind w:left="0" w:firstLine="709"/>
        <w:jc w:val="both"/>
        <w:rPr>
          <w:sz w:val="24"/>
          <w:szCs w:val="24"/>
        </w:rPr>
      </w:pPr>
      <w:r>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r>
        <w:rPr>
          <w:bCs/>
          <w:sz w:val="24"/>
          <w:szCs w:val="24"/>
        </w:rPr>
        <w:t>Расчет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numPr>
          <w:ilvl w:val="1"/>
          <w:numId w:val="2"/>
        </w:numPr>
        <w:tabs>
          <w:tab w:val="clear" w:pos="708"/>
          <w:tab w:val="left" w:pos="0" w:leader="none"/>
          <w:tab w:val="left" w:pos="567" w:leader="none"/>
          <w:tab w:val="left" w:pos="716" w:leader="none"/>
          <w:tab w:val="left" w:pos="1134" w:leader="none"/>
        </w:tabs>
        <w:ind w:left="0" w:firstLine="709"/>
        <w:jc w:val="both"/>
        <w:rPr>
          <w:sz w:val="24"/>
          <w:szCs w:val="24"/>
        </w:rPr>
      </w:pPr>
      <w:r>
        <w:rPr>
          <w:sz w:val="24"/>
          <w:szCs w:val="24"/>
        </w:rPr>
        <w:t>Индексация Цены Договора не допускается.</w:t>
      </w:r>
    </w:p>
    <w:p>
      <w:pPr>
        <w:pStyle w:val="ListParagraph"/>
        <w:numPr>
          <w:ilvl w:val="1"/>
          <w:numId w:val="2"/>
        </w:numPr>
        <w:tabs>
          <w:tab w:val="clear" w:pos="708"/>
          <w:tab w:val="left" w:pos="1134" w:leader="none"/>
        </w:tabs>
        <w:ind w:left="0" w:firstLine="709"/>
        <w:jc w:val="both"/>
        <w:rPr>
          <w:sz w:val="24"/>
          <w:szCs w:val="24"/>
        </w:rPr>
      </w:pPr>
      <w:r>
        <w:rPr>
          <w:sz w:val="24"/>
          <w:szCs w:val="24"/>
        </w:rPr>
        <w:t>Поставщик обязан представить Покупателю УПД,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УПД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pPr>
        <w:pStyle w:val="ListParagraph"/>
        <w:numPr>
          <w:ilvl w:val="1"/>
          <w:numId w:val="2"/>
        </w:numPr>
        <w:tabs>
          <w:tab w:val="clear" w:pos="708"/>
          <w:tab w:val="left" w:pos="1134" w:leader="none"/>
        </w:tabs>
        <w:ind w:left="0" w:firstLine="709"/>
        <w:jc w:val="both"/>
        <w:rPr>
          <w:sz w:val="24"/>
          <w:szCs w:val="24"/>
        </w:rPr>
      </w:pPr>
      <w:r>
        <w:rPr>
          <w:sz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Покупателя перед Поставщиком,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Товара, поставленного Поставщиком.</w:t>
      </w:r>
    </w:p>
    <w:p>
      <w:pPr>
        <w:pStyle w:val="ListParagraph"/>
        <w:tabs>
          <w:tab w:val="clear" w:pos="708"/>
          <w:tab w:val="left" w:pos="1134" w:leader="none"/>
          <w:tab w:val="left" w:pos="1425" w:leader="none"/>
        </w:tabs>
        <w:ind w:left="0" w:firstLine="720"/>
        <w:jc w:val="both"/>
        <w:rPr>
          <w:sz w:val="24"/>
          <w:szCs w:val="24"/>
        </w:rPr>
      </w:pPr>
      <w:r>
        <w:rPr>
          <w:sz w:val="24"/>
        </w:rPr>
        <w:t>Покупатель направляет Поставщику уведомление о проведении сальдо взаимных обязательств Сторон по Договору.</w:t>
      </w:r>
    </w:p>
    <w:p>
      <w:pPr>
        <w:pStyle w:val="Normal"/>
        <w:rPr>
          <w:sz w:val="24"/>
          <w:szCs w:val="24"/>
        </w:rPr>
      </w:pPr>
      <w:r>
        <w:rPr>
          <w:sz w:val="24"/>
          <w:szCs w:val="24"/>
        </w:rPr>
      </w:r>
    </w:p>
    <w:p>
      <w:pPr>
        <w:pStyle w:val="Normal"/>
        <w:numPr>
          <w:ilvl w:val="0"/>
          <w:numId w:val="2"/>
        </w:numPr>
        <w:tabs>
          <w:tab w:val="clear" w:pos="708"/>
          <w:tab w:val="left" w:pos="284" w:leader="none"/>
        </w:tabs>
        <w:ind w:left="0" w:hanging="0"/>
        <w:jc w:val="center"/>
        <w:rPr>
          <w:b/>
          <w:bCs/>
          <w:sz w:val="24"/>
          <w:szCs w:val="24"/>
        </w:rPr>
      </w:pPr>
      <w:r>
        <w:rPr>
          <w:b/>
          <w:bCs/>
          <w:sz w:val="24"/>
          <w:szCs w:val="24"/>
        </w:rPr>
        <w:t>Порядок поставки и приемки Товара</w:t>
      </w:r>
    </w:p>
    <w:p>
      <w:pPr>
        <w:pStyle w:val="ListParagraph"/>
        <w:widowControl/>
        <w:numPr>
          <w:ilvl w:val="1"/>
          <w:numId w:val="2"/>
        </w:numPr>
        <w:tabs>
          <w:tab w:val="clear" w:pos="708"/>
          <w:tab w:val="left" w:pos="1134" w:leader="none"/>
        </w:tabs>
        <w:ind w:left="0" w:firstLine="709"/>
        <w:jc w:val="both"/>
        <w:rPr>
          <w:bCs/>
          <w:sz w:val="24"/>
          <w:szCs w:val="24"/>
        </w:rPr>
      </w:pPr>
      <w:r>
        <w:rPr>
          <w:sz w:val="24"/>
          <w:szCs w:val="24"/>
        </w:rPr>
        <w:t>Поставка Товара осуществляется в Место поставки, указанное в пункте 1.3 Договора.</w:t>
      </w:r>
    </w:p>
    <w:p>
      <w:pPr>
        <w:pStyle w:val="ListParagraph"/>
        <w:widowControl/>
        <w:numPr>
          <w:ilvl w:val="1"/>
          <w:numId w:val="2"/>
        </w:numPr>
        <w:tabs>
          <w:tab w:val="clear" w:pos="708"/>
          <w:tab w:val="left" w:pos="1134" w:leader="none"/>
        </w:tabs>
        <w:ind w:left="0" w:firstLine="709"/>
        <w:jc w:val="both"/>
        <w:rPr>
          <w:bCs/>
          <w:sz w:val="24"/>
          <w:szCs w:val="24"/>
        </w:rPr>
      </w:pPr>
      <w:r>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sz w:val="24"/>
          <w:szCs w:val="24"/>
        </w:rPr>
        <w:t xml:space="preserve"> </w:t>
      </w:r>
      <w:r>
        <w:rPr>
          <w:bCs/>
          <w:sz w:val="24"/>
          <w:szCs w:val="24"/>
        </w:rPr>
        <w:t>в том числе, указанным в Спецификации (Приложение № 1 к Договору), а также Применимого права.</w:t>
      </w:r>
    </w:p>
    <w:p>
      <w:pPr>
        <w:pStyle w:val="ListParagraph"/>
        <w:widowControl/>
        <w:numPr>
          <w:ilvl w:val="1"/>
          <w:numId w:val="2"/>
        </w:numPr>
        <w:tabs>
          <w:tab w:val="clear" w:pos="708"/>
          <w:tab w:val="left" w:pos="1134" w:leader="none"/>
        </w:tabs>
        <w:ind w:left="0" w:firstLine="709"/>
        <w:jc w:val="both"/>
        <w:rPr>
          <w:bCs/>
          <w:sz w:val="24"/>
          <w:szCs w:val="24"/>
        </w:rPr>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ListParagraph"/>
        <w:widowControl/>
        <w:numPr>
          <w:ilvl w:val="1"/>
          <w:numId w:val="2"/>
        </w:numPr>
        <w:tabs>
          <w:tab w:val="clear" w:pos="708"/>
          <w:tab w:val="left" w:pos="1134" w:leader="none"/>
        </w:tabs>
        <w:ind w:left="0" w:firstLine="709"/>
        <w:jc w:val="both"/>
        <w:rPr>
          <w:bCs/>
          <w:sz w:val="24"/>
          <w:szCs w:val="24"/>
        </w:rPr>
      </w:pPr>
      <w:r>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pPr>
        <w:pStyle w:val="Normal"/>
        <w:numPr>
          <w:ilvl w:val="0"/>
          <w:numId w:val="4"/>
        </w:numPr>
        <w:tabs>
          <w:tab w:val="clear" w:pos="708"/>
          <w:tab w:val="left" w:pos="1418" w:leader="none"/>
        </w:tabs>
        <w:ind w:left="0" w:firstLine="709"/>
        <w:jc w:val="both"/>
        <w:rPr>
          <w:sz w:val="24"/>
          <w:szCs w:val="24"/>
        </w:rPr>
      </w:pPr>
      <w:r>
        <w:rPr>
          <w:sz w:val="24"/>
          <w:szCs w:val="24"/>
        </w:rPr>
        <w:t>сертификат качества в 1(одном) экз.;</w:t>
      </w:r>
    </w:p>
    <w:p>
      <w:pPr>
        <w:pStyle w:val="Normal"/>
        <w:numPr>
          <w:ilvl w:val="0"/>
          <w:numId w:val="4"/>
        </w:numPr>
        <w:tabs>
          <w:tab w:val="clear" w:pos="708"/>
          <w:tab w:val="left" w:pos="1418" w:leader="none"/>
        </w:tabs>
        <w:ind w:left="0" w:firstLine="709"/>
        <w:jc w:val="both"/>
        <w:rPr>
          <w:sz w:val="24"/>
          <w:szCs w:val="24"/>
        </w:rPr>
      </w:pPr>
      <w:r>
        <w:rPr>
          <w:sz w:val="24"/>
          <w:szCs w:val="24"/>
        </w:rPr>
        <w:t>технический паспорт на русском языке в 1(одном) экз.;</w:t>
      </w:r>
    </w:p>
    <w:p>
      <w:pPr>
        <w:pStyle w:val="Normal"/>
        <w:numPr>
          <w:ilvl w:val="0"/>
          <w:numId w:val="4"/>
        </w:numPr>
        <w:tabs>
          <w:tab w:val="clear" w:pos="708"/>
          <w:tab w:val="left" w:pos="1418" w:leader="none"/>
        </w:tabs>
        <w:ind w:left="0" w:firstLine="709"/>
        <w:jc w:val="both"/>
        <w:rPr>
          <w:sz w:val="24"/>
          <w:szCs w:val="24"/>
        </w:rPr>
      </w:pPr>
      <w:r>
        <w:rPr>
          <w:sz w:val="24"/>
          <w:szCs w:val="24"/>
        </w:rPr>
        <w:t>инструкция по эксплуатации на русском языке в 1(одном) экз.;</w:t>
      </w:r>
    </w:p>
    <w:p>
      <w:pPr>
        <w:pStyle w:val="Normal"/>
        <w:numPr>
          <w:ilvl w:val="0"/>
          <w:numId w:val="4"/>
        </w:numPr>
        <w:tabs>
          <w:tab w:val="clear" w:pos="708"/>
          <w:tab w:val="left" w:pos="1418" w:leader="none"/>
        </w:tabs>
        <w:ind w:left="0" w:firstLine="709"/>
        <w:jc w:val="both"/>
        <w:rPr>
          <w:sz w:val="24"/>
          <w:szCs w:val="24"/>
        </w:rPr>
      </w:pPr>
      <w:r>
        <w:rPr>
          <w:sz w:val="24"/>
          <w:szCs w:val="24"/>
        </w:rPr>
        <w:t>упаковочный лист в 1(одном) экз.;</w:t>
      </w:r>
    </w:p>
    <w:p>
      <w:pPr>
        <w:pStyle w:val="Normal"/>
        <w:numPr>
          <w:ilvl w:val="0"/>
          <w:numId w:val="3"/>
        </w:numPr>
        <w:tabs>
          <w:tab w:val="clear" w:pos="708"/>
          <w:tab w:val="left" w:pos="1418" w:leader="none"/>
        </w:tabs>
        <w:ind w:left="0" w:firstLine="709"/>
        <w:jc w:val="both"/>
        <w:rPr>
          <w:sz w:val="24"/>
          <w:szCs w:val="24"/>
        </w:rPr>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pPr>
        <w:pStyle w:val="Normal"/>
        <w:numPr>
          <w:ilvl w:val="0"/>
          <w:numId w:val="3"/>
        </w:numPr>
        <w:tabs>
          <w:tab w:val="clear" w:pos="708"/>
          <w:tab w:val="left" w:pos="1418" w:leader="none"/>
        </w:tabs>
        <w:ind w:left="0" w:firstLine="709"/>
        <w:jc w:val="both"/>
        <w:rPr>
          <w:sz w:val="24"/>
          <w:szCs w:val="24"/>
        </w:rPr>
      </w:pPr>
      <w:r>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1(одном) экз.;</w:t>
      </w:r>
    </w:p>
    <w:p>
      <w:pPr>
        <w:pStyle w:val="Normal"/>
        <w:numPr>
          <w:ilvl w:val="0"/>
          <w:numId w:val="3"/>
        </w:numPr>
        <w:tabs>
          <w:tab w:val="clear" w:pos="708"/>
          <w:tab w:val="left" w:pos="1418" w:leader="none"/>
        </w:tabs>
        <w:ind w:left="0" w:firstLine="709"/>
        <w:jc w:val="both"/>
        <w:rPr>
          <w:sz w:val="24"/>
          <w:szCs w:val="24"/>
        </w:rPr>
      </w:pPr>
      <w:r>
        <w:rPr>
          <w:sz w:val="24"/>
          <w:szCs w:val="24"/>
        </w:rPr>
        <w:t>УПД в 2 –х (двух) экз.</w:t>
      </w:r>
    </w:p>
    <w:p>
      <w:pPr>
        <w:pStyle w:val="ListParagraph"/>
        <w:widowControl/>
        <w:numPr>
          <w:ilvl w:val="1"/>
          <w:numId w:val="2"/>
        </w:numPr>
        <w:tabs>
          <w:tab w:val="clear" w:pos="708"/>
          <w:tab w:val="left" w:pos="1134" w:leader="none"/>
          <w:tab w:val="left" w:pos="1418" w:leader="none"/>
        </w:tabs>
        <w:ind w:left="0" w:firstLine="709"/>
        <w:jc w:val="both"/>
        <w:rPr>
          <w:bCs/>
          <w:sz w:val="24"/>
          <w:szCs w:val="24"/>
        </w:rPr>
      </w:pPr>
      <w:r>
        <w:rPr>
          <w:bCs/>
          <w:sz w:val="24"/>
          <w:szCs w:val="24"/>
        </w:rPr>
        <w:t xml:space="preserve">Поставщик обязан обеспечить присутствие во время приемки Товара и в Месте поставки своего представителя, уполномоченного надлежащим образом оформленной доверенностью на передачу Товара Покупателю, подписание Акта рекламации. При отсутствии представителя Поставщика или отсутствии у такого представителя надлежащим образом оформленной доверенности 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pPr>
        <w:pStyle w:val="ListParagraph"/>
        <w:tabs>
          <w:tab w:val="clear" w:pos="708"/>
          <w:tab w:val="left" w:pos="1134" w:leader="none"/>
          <w:tab w:val="left" w:pos="1418" w:leader="none"/>
        </w:tabs>
        <w:ind w:left="0" w:firstLine="709"/>
        <w:jc w:val="both"/>
        <w:rPr>
          <w:bCs/>
          <w:sz w:val="24"/>
          <w:szCs w:val="24"/>
        </w:rPr>
      </w:pPr>
      <w:r>
        <w:rPr>
          <w:bCs/>
          <w:sz w:val="24"/>
          <w:szCs w:val="24"/>
        </w:rPr>
        <w:t>Оригинал доверенности представителя Поставщика подлежит передаче Покупателю.</w:t>
      </w:r>
    </w:p>
    <w:p>
      <w:pPr>
        <w:pStyle w:val="ListParagraph"/>
        <w:widowControl/>
        <w:numPr>
          <w:ilvl w:val="1"/>
          <w:numId w:val="2"/>
        </w:numPr>
        <w:tabs>
          <w:tab w:val="clear" w:pos="708"/>
          <w:tab w:val="left" w:pos="1134" w:leader="none"/>
          <w:tab w:val="left" w:pos="1418" w:leader="none"/>
        </w:tabs>
        <w:ind w:left="0" w:firstLine="709"/>
        <w:jc w:val="both"/>
        <w:rPr>
          <w:bCs/>
          <w:sz w:val="24"/>
          <w:szCs w:val="24"/>
        </w:rPr>
      </w:pPr>
      <w:r>
        <w:rPr>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pPr>
        <w:pStyle w:val="ListParagraph"/>
        <w:widowControl/>
        <w:numPr>
          <w:ilvl w:val="1"/>
          <w:numId w:val="2"/>
        </w:numPr>
        <w:tabs>
          <w:tab w:val="clear" w:pos="708"/>
          <w:tab w:val="left" w:pos="1134" w:leader="none"/>
          <w:tab w:val="left" w:pos="1418" w:leader="none"/>
        </w:tabs>
        <w:ind w:left="0" w:firstLine="709"/>
        <w:jc w:val="both"/>
        <w:rPr>
          <w:bCs/>
          <w:sz w:val="24"/>
          <w:szCs w:val="24"/>
        </w:rPr>
      </w:pPr>
      <w:bookmarkStart w:id="1"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pPr>
        <w:pStyle w:val="ListParagraph"/>
        <w:tabs>
          <w:tab w:val="clear" w:pos="708"/>
          <w:tab w:val="left" w:pos="1418" w:leader="none"/>
        </w:tabs>
        <w:ind w:left="0" w:firstLine="709"/>
        <w:jc w:val="both"/>
        <w:rPr>
          <w:bCs/>
          <w:sz w:val="24"/>
          <w:szCs w:val="24"/>
        </w:rPr>
      </w:pPr>
      <w:r>
        <w:rPr>
          <w:bCs/>
          <w:sz w:val="24"/>
          <w:szCs w:val="24"/>
        </w:rPr>
        <w:t xml:space="preserve">Отдельные требования к упаковке и маркировке негабаритного Товара, </w:t>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pPr>
        <w:pStyle w:val="ListParagraph"/>
        <w:tabs>
          <w:tab w:val="clear" w:pos="708"/>
          <w:tab w:val="left" w:pos="1418" w:leader="none"/>
        </w:tabs>
        <w:ind w:left="0" w:firstLine="709"/>
        <w:jc w:val="both"/>
        <w:rPr>
          <w:bCs/>
          <w:sz w:val="24"/>
          <w:szCs w:val="24"/>
        </w:rPr>
      </w:pPr>
      <w:r>
        <w:rPr>
          <w:bCs/>
          <w:sz w:val="24"/>
          <w:szCs w:val="24"/>
        </w:rPr>
        <w:t xml:space="preserve">Стоимость тары и упаковки включена в стоимость Товара. Тара и упаковка возврату </w:t>
        <w:br/>
        <w:t xml:space="preserve">не подлежат. </w:t>
      </w:r>
    </w:p>
    <w:p>
      <w:pPr>
        <w:pStyle w:val="ListParagraph"/>
        <w:widowControl/>
        <w:numPr>
          <w:ilvl w:val="1"/>
          <w:numId w:val="2"/>
        </w:numPr>
        <w:tabs>
          <w:tab w:val="clear" w:pos="708"/>
          <w:tab w:val="left" w:pos="1134" w:leader="none"/>
          <w:tab w:val="left" w:pos="1418" w:leader="none"/>
        </w:tabs>
        <w:ind w:left="0" w:firstLine="709"/>
        <w:jc w:val="both"/>
        <w:rPr>
          <w:sz w:val="24"/>
          <w:szCs w:val="24"/>
        </w:rPr>
      </w:pPr>
      <w:r>
        <w:rPr>
          <w:sz w:val="24"/>
          <w:szCs w:val="24"/>
        </w:rPr>
        <w:t xml:space="preserve">Погрузка, доставка, разгрузка и перемещение Товара по территории Покупателя </w:t>
      </w:r>
      <w:r>
        <w:rPr>
          <w:bCs/>
          <w:sz w:val="24"/>
          <w:szCs w:val="24"/>
        </w:rPr>
        <w:t>осуществляется</w:t>
      </w:r>
      <w:r>
        <w:rPr>
          <w:sz w:val="24"/>
          <w:szCs w:val="24"/>
        </w:rPr>
        <w:t xml:space="preserve"> Поставщиком. Стоимость погрузки, доставки, разгрузки, перемещение Товара включена в стоимость Товара.</w:t>
      </w:r>
    </w:p>
    <w:p>
      <w:pPr>
        <w:pStyle w:val="ListParagraph"/>
        <w:widowControl/>
        <w:numPr>
          <w:ilvl w:val="1"/>
          <w:numId w:val="2"/>
        </w:numPr>
        <w:tabs>
          <w:tab w:val="clear" w:pos="708"/>
          <w:tab w:val="left" w:pos="1134" w:leader="none"/>
        </w:tabs>
        <w:ind w:left="0" w:firstLine="709"/>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pPr>
        <w:pStyle w:val="ListParagraph"/>
        <w:widowControl/>
        <w:numPr>
          <w:ilvl w:val="1"/>
          <w:numId w:val="2"/>
        </w:numPr>
        <w:tabs>
          <w:tab w:val="clear" w:pos="708"/>
          <w:tab w:val="left" w:pos="1418" w:leader="none"/>
        </w:tabs>
        <w:ind w:left="0" w:firstLine="709"/>
        <w:jc w:val="both"/>
        <w:rPr>
          <w:sz w:val="24"/>
          <w:szCs w:val="24"/>
        </w:rPr>
      </w:pPr>
      <w:bookmarkStart w:id="2" w:name="_Ref361396594"/>
      <w:r>
        <w:rPr>
          <w:sz w:val="24"/>
          <w:szCs w:val="24"/>
        </w:rPr>
        <w:t>Датой поставки Товара является дата подписания Сторонами УПД.</w:t>
      </w:r>
      <w:bookmarkEnd w:id="2"/>
      <w:r>
        <w:rPr>
          <w:sz w:val="24"/>
          <w:szCs w:val="24"/>
        </w:rPr>
        <w:t xml:space="preserve"> </w:t>
      </w:r>
    </w:p>
    <w:p>
      <w:pPr>
        <w:pStyle w:val="ListParagraph"/>
        <w:widowControl/>
        <w:numPr>
          <w:ilvl w:val="1"/>
          <w:numId w:val="2"/>
        </w:numPr>
        <w:tabs>
          <w:tab w:val="clear" w:pos="708"/>
          <w:tab w:val="left" w:pos="1418" w:leader="none"/>
        </w:tabs>
        <w:ind w:left="0" w:firstLine="709"/>
        <w:jc w:val="both"/>
        <w:rPr>
          <w:sz w:val="24"/>
          <w:szCs w:val="24"/>
        </w:rPr>
      </w:pPr>
      <w:r>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pPr>
        <w:pStyle w:val="ListParagraph"/>
        <w:widowControl/>
        <w:numPr>
          <w:ilvl w:val="1"/>
          <w:numId w:val="2"/>
        </w:numPr>
        <w:tabs>
          <w:tab w:val="clear" w:pos="708"/>
          <w:tab w:val="left" w:pos="1418" w:leader="none"/>
        </w:tabs>
        <w:ind w:left="0" w:firstLine="709"/>
        <w:jc w:val="both"/>
        <w:rPr>
          <w:sz w:val="24"/>
          <w:szCs w:val="24"/>
        </w:rPr>
      </w:pPr>
      <w:r>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pPr>
        <w:pStyle w:val="ListParagraph"/>
        <w:tabs>
          <w:tab w:val="clear" w:pos="708"/>
          <w:tab w:val="left" w:pos="1418" w:leader="none"/>
        </w:tabs>
        <w:ind w:left="0" w:firstLine="709"/>
        <w:jc w:val="both"/>
        <w:rPr>
          <w:sz w:val="24"/>
          <w:szCs w:val="24"/>
        </w:rPr>
      </w:pPr>
      <w:bookmarkStart w:id="3" w:name="_Ref361408232"/>
      <w:r>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3"/>
      <w:r>
        <w:rPr>
          <w:sz w:val="24"/>
          <w:szCs w:val="24"/>
        </w:rPr>
        <w:t xml:space="preserve"> </w:t>
      </w:r>
    </w:p>
    <w:p>
      <w:pPr>
        <w:pStyle w:val="ListParagraph"/>
        <w:widowControl/>
        <w:numPr>
          <w:ilvl w:val="1"/>
          <w:numId w:val="2"/>
        </w:numPr>
        <w:tabs>
          <w:tab w:val="clear" w:pos="708"/>
          <w:tab w:val="left" w:pos="1418" w:leader="none"/>
        </w:tabs>
        <w:ind w:left="0" w:firstLine="709"/>
        <w:jc w:val="both"/>
        <w:rPr>
          <w:sz w:val="24"/>
          <w:szCs w:val="24"/>
        </w:rPr>
      </w:pPr>
      <w:r>
        <w:rPr>
          <w:sz w:val="24"/>
          <w:szCs w:val="24"/>
        </w:rPr>
        <w:t xml:space="preserve">Приемка Товара со вскрытием тары и упаковки производится Покупателем в присутствии представителя Поставщика в течение 10 (десяти) рабочих дней </w:t>
        <w:br/>
        <w:t xml:space="preserve">с даты подписания Покупателем транспортных документов. В случае отсутствия замечаний Покупатель подписывает </w:t>
      </w:r>
      <w:r>
        <w:rPr>
          <w:sz w:val="24"/>
          <w:szCs w:val="24"/>
          <w:lang w:val="en-US"/>
        </w:rPr>
        <w:t>УПД</w:t>
      </w:r>
      <w:r>
        <w:rPr>
          <w:sz w:val="24"/>
          <w:szCs w:val="24"/>
        </w:rPr>
        <w:t>.</w:t>
      </w:r>
    </w:p>
    <w:p>
      <w:pPr>
        <w:pStyle w:val="Normal"/>
        <w:numPr>
          <w:ilvl w:val="1"/>
          <w:numId w:val="2"/>
        </w:numPr>
        <w:tabs>
          <w:tab w:val="clear" w:pos="708"/>
          <w:tab w:val="left" w:pos="568" w:leader="none"/>
          <w:tab w:val="left" w:pos="1134" w:leader="none"/>
          <w:tab w:val="left" w:pos="1418" w:leader="none"/>
        </w:tabs>
        <w:ind w:left="0" w:firstLine="709"/>
        <w:jc w:val="both"/>
        <w:rPr>
          <w:sz w:val="24"/>
          <w:szCs w:val="24"/>
        </w:rPr>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pPr>
        <w:pStyle w:val="Normal"/>
        <w:tabs>
          <w:tab w:val="clear" w:pos="708"/>
          <w:tab w:val="left" w:pos="1134" w:leader="none"/>
          <w:tab w:val="left" w:pos="1418" w:leader="none"/>
          <w:tab w:val="left" w:pos="1851" w:leader="none"/>
        </w:tabs>
        <w:ind w:firstLine="709"/>
        <w:jc w:val="both"/>
        <w:rPr>
          <w:sz w:val="24"/>
          <w:szCs w:val="24"/>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pPr>
        <w:pStyle w:val="Normal"/>
        <w:tabs>
          <w:tab w:val="clear" w:pos="708"/>
          <w:tab w:val="left" w:pos="1134" w:leader="none"/>
          <w:tab w:val="left" w:pos="1418" w:leader="none"/>
          <w:tab w:val="left" w:pos="1851" w:leader="none"/>
        </w:tabs>
        <w:ind w:firstLine="709"/>
        <w:jc w:val="both"/>
        <w:rPr>
          <w:sz w:val="24"/>
          <w:szCs w:val="24"/>
        </w:rPr>
      </w:pPr>
      <w:r>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Товара.</w:t>
      </w:r>
    </w:p>
    <w:p>
      <w:pPr>
        <w:pStyle w:val="Normal"/>
        <w:numPr>
          <w:ilvl w:val="1"/>
          <w:numId w:val="2"/>
        </w:numPr>
        <w:tabs>
          <w:tab w:val="clear" w:pos="708"/>
          <w:tab w:val="left" w:pos="1418" w:leader="none"/>
        </w:tabs>
        <w:ind w:left="0" w:firstLine="709"/>
        <w:jc w:val="both"/>
        <w:rPr>
          <w:sz w:val="24"/>
          <w:szCs w:val="24"/>
        </w:rPr>
      </w:pPr>
      <w:r>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пунктами 3.12, 3.14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pPr>
        <w:pStyle w:val="Normal"/>
        <w:tabs>
          <w:tab w:val="clear" w:pos="708"/>
          <w:tab w:val="left" w:pos="1283" w:leader="none"/>
          <w:tab w:val="left" w:pos="1851" w:leader="none"/>
        </w:tabs>
        <w:ind w:firstLine="709"/>
        <w:jc w:val="both"/>
        <w:rPr>
          <w:sz w:val="24"/>
          <w:szCs w:val="24"/>
        </w:rPr>
      </w:pPr>
      <w:r>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pPr>
        <w:pStyle w:val="ListParagraph"/>
        <w:widowControl/>
        <w:numPr>
          <w:ilvl w:val="1"/>
          <w:numId w:val="2"/>
        </w:numPr>
        <w:tabs>
          <w:tab w:val="clear" w:pos="708"/>
          <w:tab w:val="left" w:pos="1134" w:leader="none"/>
          <w:tab w:val="left" w:pos="1418" w:leader="none"/>
        </w:tabs>
        <w:ind w:left="0" w:firstLine="709"/>
        <w:jc w:val="both"/>
        <w:rPr>
          <w:b/>
          <w:color w:val="000000"/>
          <w:sz w:val="24"/>
          <w:szCs w:val="24"/>
        </w:rPr>
      </w:pPr>
      <w:r>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абзаца 3 пункта 30, 35, 38-42).</w:t>
      </w:r>
      <w:r>
        <w:rPr>
          <w:b/>
          <w:bCs/>
          <w:color w:val="000000"/>
          <w:sz w:val="24"/>
          <w:szCs w:val="24"/>
        </w:rPr>
        <w:t xml:space="preserve"> </w:t>
      </w:r>
    </w:p>
    <w:p>
      <w:pPr>
        <w:pStyle w:val="ListParagraph"/>
        <w:widowControl/>
        <w:numPr>
          <w:ilvl w:val="1"/>
          <w:numId w:val="2"/>
        </w:numPr>
        <w:tabs>
          <w:tab w:val="clear" w:pos="708"/>
          <w:tab w:val="left" w:pos="1134" w:leader="none"/>
          <w:tab w:val="left" w:pos="1418" w:leader="none"/>
        </w:tabs>
        <w:ind w:left="0" w:firstLine="709"/>
        <w:jc w:val="both"/>
        <w:rPr>
          <w:sz w:val="24"/>
          <w:szCs w:val="24"/>
        </w:rPr>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УПД.</w:t>
      </w:r>
    </w:p>
    <w:p>
      <w:pPr>
        <w:pStyle w:val="Normal"/>
        <w:ind w:firstLine="709"/>
        <w:jc w:val="both"/>
        <w:rPr>
          <w:sz w:val="24"/>
          <w:szCs w:val="24"/>
        </w:rPr>
      </w:pPr>
      <w:r>
        <w:rPr>
          <w:sz w:val="24"/>
          <w:szCs w:val="24"/>
        </w:rPr>
      </w:r>
    </w:p>
    <w:p>
      <w:pPr>
        <w:pStyle w:val="ListParagraph"/>
        <w:numPr>
          <w:ilvl w:val="0"/>
          <w:numId w:val="2"/>
        </w:numPr>
        <w:tabs>
          <w:tab w:val="clear" w:pos="708"/>
          <w:tab w:val="left" w:pos="284" w:leader="none"/>
        </w:tabs>
        <w:ind w:left="0" w:firstLine="709"/>
        <w:jc w:val="center"/>
        <w:rPr>
          <w:b/>
          <w:sz w:val="24"/>
          <w:szCs w:val="24"/>
        </w:rPr>
      </w:pPr>
      <w:r>
        <w:rPr>
          <w:b/>
          <w:sz w:val="24"/>
          <w:szCs w:val="24"/>
        </w:rPr>
        <w:t>Гарантийный срок</w:t>
      </w:r>
    </w:p>
    <w:p>
      <w:pPr>
        <w:pStyle w:val="ListParagraph"/>
        <w:numPr>
          <w:ilvl w:val="1"/>
          <w:numId w:val="2"/>
        </w:numPr>
        <w:tabs>
          <w:tab w:val="clear" w:pos="708"/>
          <w:tab w:val="left" w:pos="1134" w:leader="none"/>
          <w:tab w:val="left" w:pos="1440" w:leader="none"/>
        </w:tabs>
        <w:ind w:left="0" w:firstLine="630"/>
        <w:jc w:val="both"/>
        <w:rPr>
          <w:sz w:val="24"/>
          <w:szCs w:val="24"/>
        </w:rPr>
      </w:pPr>
      <w:r>
        <w:rPr>
          <w:sz w:val="24"/>
          <w:szCs w:val="24"/>
        </w:rPr>
        <w:t xml:space="preserve">Гарантийный срок на Товар, поставленный по Договору, должен соответствовать гарантии, заявленной производителем и начинает течь с даты подписания Сторонами УПД. Гарантийный срок может быть продлен в соответствии с условиями Договора. </w:t>
      </w:r>
    </w:p>
    <w:p>
      <w:pPr>
        <w:pStyle w:val="ListParagraph"/>
        <w:tabs>
          <w:tab w:val="clear" w:pos="708"/>
          <w:tab w:val="left" w:pos="1134" w:leader="none"/>
          <w:tab w:val="left" w:pos="1440" w:leader="none"/>
        </w:tabs>
        <w:ind w:left="0" w:firstLine="630"/>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pPr>
        <w:pStyle w:val="Normal"/>
        <w:numPr>
          <w:ilvl w:val="1"/>
          <w:numId w:val="2"/>
        </w:numPr>
        <w:tabs>
          <w:tab w:val="clear" w:pos="708"/>
          <w:tab w:val="left" w:pos="1134" w:leader="none"/>
          <w:tab w:val="left" w:pos="1440" w:leader="none"/>
        </w:tabs>
        <w:ind w:left="0" w:firstLine="630"/>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pPr>
        <w:pStyle w:val="Normal"/>
        <w:numPr>
          <w:ilvl w:val="1"/>
          <w:numId w:val="2"/>
        </w:numPr>
        <w:tabs>
          <w:tab w:val="clear" w:pos="708"/>
          <w:tab w:val="left" w:pos="1134" w:leader="none"/>
        </w:tabs>
        <w:ind w:lef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pPr>
        <w:pStyle w:val="Normal"/>
        <w:numPr>
          <w:ilvl w:val="1"/>
          <w:numId w:val="2"/>
        </w:numPr>
        <w:tabs>
          <w:tab w:val="clear" w:pos="708"/>
          <w:tab w:val="left" w:pos="1134" w:leader="none"/>
        </w:tabs>
        <w:ind w:left="0" w:firstLine="709"/>
        <w:jc w:val="both"/>
        <w:rPr>
          <w:sz w:val="24"/>
          <w:szCs w:val="24"/>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Pr>
          <w:sz w:val="24"/>
          <w:szCs w:val="24"/>
        </w:rPr>
        <w:t>Покупателем в соответствии с пунктом 4.3 Договора</w:t>
      </w:r>
      <w:bookmarkEnd w:id="4"/>
      <w:bookmarkEnd w:id="5"/>
      <w:r>
        <w:rPr>
          <w:sz w:val="24"/>
          <w:szCs w:val="24"/>
        </w:rPr>
        <w:t xml:space="preserve">, путем замены или ремонта Товара. </w:t>
      </w:r>
    </w:p>
    <w:p>
      <w:pPr>
        <w:pStyle w:val="Normal"/>
        <w:ind w:firstLine="709"/>
        <w:jc w:val="both"/>
        <w:rPr>
          <w:sz w:val="24"/>
          <w:szCs w:val="24"/>
        </w:rPr>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pPr>
        <w:pStyle w:val="Normal"/>
        <w:numPr>
          <w:ilvl w:val="1"/>
          <w:numId w:val="2"/>
        </w:numPr>
        <w:tabs>
          <w:tab w:val="clear" w:pos="708"/>
          <w:tab w:val="left" w:pos="1134" w:leader="none"/>
        </w:tabs>
        <w:ind w:left="0" w:firstLine="709"/>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pPr>
        <w:pStyle w:val="Normal"/>
        <w:numPr>
          <w:ilvl w:val="1"/>
          <w:numId w:val="2"/>
        </w:numPr>
        <w:tabs>
          <w:tab w:val="clear" w:pos="708"/>
          <w:tab w:val="left" w:pos="1134" w:leader="none"/>
        </w:tabs>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pPr>
        <w:pStyle w:val="Normal"/>
        <w:numPr>
          <w:ilvl w:val="1"/>
          <w:numId w:val="2"/>
        </w:numPr>
        <w:tabs>
          <w:tab w:val="clear" w:pos="708"/>
          <w:tab w:val="left" w:pos="1134" w:leader="none"/>
        </w:tabs>
        <w:ind w:lef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pPr>
        <w:pStyle w:val="Normal"/>
        <w:tabs>
          <w:tab w:val="clear" w:pos="708"/>
          <w:tab w:val="left" w:pos="1134" w:leader="none"/>
        </w:tabs>
        <w:ind w:left="709" w:hanging="0"/>
        <w:jc w:val="both"/>
        <w:rPr>
          <w:sz w:val="24"/>
          <w:szCs w:val="24"/>
        </w:rPr>
      </w:pPr>
      <w:r>
        <w:rPr>
          <w:sz w:val="24"/>
          <w:szCs w:val="24"/>
        </w:rPr>
      </w:r>
    </w:p>
    <w:p>
      <w:pPr>
        <w:pStyle w:val="Normal"/>
        <w:numPr>
          <w:ilvl w:val="0"/>
          <w:numId w:val="2"/>
        </w:numPr>
        <w:tabs>
          <w:tab w:val="clear" w:pos="708"/>
          <w:tab w:val="left" w:pos="284" w:leader="none"/>
        </w:tabs>
        <w:ind w:left="0" w:hanging="0"/>
        <w:jc w:val="center"/>
        <w:rPr>
          <w:b/>
          <w:bCs/>
          <w:sz w:val="24"/>
          <w:szCs w:val="24"/>
        </w:rPr>
      </w:pPr>
      <w:r>
        <w:rPr>
          <w:b/>
          <w:bCs/>
          <w:sz w:val="24"/>
          <w:szCs w:val="24"/>
        </w:rPr>
        <w:t>Ответственность Сторон</w:t>
      </w:r>
    </w:p>
    <w:p>
      <w:pPr>
        <w:pStyle w:val="ListParagraph"/>
        <w:numPr>
          <w:ilvl w:val="1"/>
          <w:numId w:val="2"/>
        </w:numPr>
        <w:tabs>
          <w:tab w:val="clear" w:pos="708"/>
          <w:tab w:val="left" w:pos="993" w:leader="none"/>
          <w:tab w:val="left" w:pos="1134" w:leader="none"/>
        </w:tabs>
        <w:ind w:left="0" w:firstLine="720"/>
        <w:jc w:val="both"/>
        <w:rPr>
          <w:sz w:val="24"/>
          <w:szCs w:val="24"/>
        </w:rPr>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widowControl/>
        <w:numPr>
          <w:ilvl w:val="1"/>
          <w:numId w:val="2"/>
        </w:numPr>
        <w:tabs>
          <w:tab w:val="clear" w:pos="708"/>
          <w:tab w:val="left" w:pos="993" w:leader="none"/>
          <w:tab w:val="left" w:pos="1134" w:leader="none"/>
        </w:tabs>
        <w:ind w:left="0" w:firstLine="720"/>
        <w:jc w:val="both"/>
        <w:rPr>
          <w:bCs/>
          <w:sz w:val="24"/>
          <w:szCs w:val="24"/>
        </w:rPr>
      </w:pPr>
      <w:r>
        <w:rPr>
          <w:bCs/>
          <w:sz w:val="24"/>
          <w:szCs w:val="24"/>
        </w:rPr>
        <w:t xml:space="preserve">Покупатель не несет ответственности за ненадлежащее исполнение обязательств </w:t>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pPr>
        <w:pStyle w:val="ListParagraph"/>
        <w:numPr>
          <w:ilvl w:val="1"/>
          <w:numId w:val="2"/>
        </w:numPr>
        <w:tabs>
          <w:tab w:val="clear" w:pos="708"/>
          <w:tab w:val="left" w:pos="993" w:leader="none"/>
        </w:tabs>
        <w:ind w:left="0" w:firstLine="720"/>
        <w:jc w:val="both"/>
        <w:rPr>
          <w:bCs/>
          <w:sz w:val="24"/>
          <w:szCs w:val="24"/>
        </w:rPr>
      </w:pPr>
      <w:r>
        <w:rPr>
          <w:bCs/>
          <w:sz w:val="24"/>
          <w:szCs w:val="24"/>
        </w:rPr>
        <w:t>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pPr>
        <w:pStyle w:val="ListParagraph"/>
        <w:widowControl/>
        <w:numPr>
          <w:ilvl w:val="1"/>
          <w:numId w:val="2"/>
        </w:numPr>
        <w:tabs>
          <w:tab w:val="clear" w:pos="708"/>
          <w:tab w:val="left" w:pos="993" w:leader="none"/>
          <w:tab w:val="left" w:pos="1134" w:leader="none"/>
        </w:tabs>
        <w:ind w:left="0" w:firstLine="720"/>
        <w:jc w:val="both"/>
        <w:rPr>
          <w:bCs/>
          <w:sz w:val="24"/>
          <w:szCs w:val="24"/>
        </w:rPr>
      </w:pPr>
      <w:r>
        <w:rPr>
          <w:bCs/>
          <w:sz w:val="24"/>
          <w:szCs w:val="24"/>
        </w:rPr>
        <w:t>В случае нарушения Поставщиком обязательств по поставке Товара (нарушение срока поставки, недопоставка), в том числе установленных Календарным графиком поставки Товара (Приложение № 4 к Договору), а также в случае несвоевременного устранения выявленных недостатков Товара, Покупатель вправе требовать уплаты Поставщиком</w:t>
      </w:r>
    </w:p>
    <w:p>
      <w:pPr>
        <w:pStyle w:val="ListParagraph"/>
        <w:widowControl/>
        <w:numPr>
          <w:ilvl w:val="2"/>
          <w:numId w:val="2"/>
        </w:numPr>
        <w:tabs>
          <w:tab w:val="clear" w:pos="708"/>
          <w:tab w:val="left" w:pos="993" w:leader="none"/>
          <w:tab w:val="left" w:pos="1134" w:leader="none"/>
        </w:tabs>
        <w:ind w:left="0" w:firstLine="720"/>
        <w:jc w:val="both"/>
        <w:rPr>
          <w:bCs/>
          <w:sz w:val="24"/>
          <w:szCs w:val="24"/>
        </w:rPr>
      </w:pPr>
      <w:r>
        <w:rPr>
          <w:bCs/>
          <w:sz w:val="24"/>
          <w:szCs w:val="24"/>
        </w:rPr>
        <w:t>Неустойки в размере 0,1 (ноль целых и одна десятая) процента от цены Партии Товара за каждый день просрочки;</w:t>
      </w:r>
    </w:p>
    <w:p>
      <w:pPr>
        <w:pStyle w:val="ListParagraph"/>
        <w:widowControl/>
        <w:numPr>
          <w:ilvl w:val="2"/>
          <w:numId w:val="2"/>
        </w:numPr>
        <w:tabs>
          <w:tab w:val="clear" w:pos="708"/>
          <w:tab w:val="left" w:pos="993" w:leader="none"/>
          <w:tab w:val="left" w:pos="1134" w:leader="none"/>
        </w:tabs>
        <w:ind w:left="0" w:firstLine="720"/>
        <w:jc w:val="both"/>
        <w:rPr>
          <w:bCs/>
          <w:sz w:val="24"/>
          <w:szCs w:val="24"/>
        </w:rPr>
      </w:pPr>
      <w:r>
        <w:rPr>
          <w:bCs/>
          <w:sz w:val="24"/>
          <w:szCs w:val="24"/>
        </w:rPr>
        <w:t>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 в целом;</w:t>
      </w:r>
    </w:p>
    <w:p>
      <w:pPr>
        <w:pStyle w:val="ListParagraph"/>
        <w:widowControl/>
        <w:numPr>
          <w:ilvl w:val="2"/>
          <w:numId w:val="2"/>
        </w:numPr>
        <w:tabs>
          <w:tab w:val="clear" w:pos="708"/>
          <w:tab w:val="left" w:pos="993" w:leader="none"/>
          <w:tab w:val="left" w:pos="1134" w:leader="none"/>
        </w:tabs>
        <w:ind w:left="0" w:firstLine="720"/>
        <w:jc w:val="both"/>
        <w:rPr>
          <w:bCs/>
          <w:sz w:val="24"/>
          <w:szCs w:val="24"/>
        </w:rPr>
      </w:pPr>
      <w:r>
        <w:rPr>
          <w:bCs/>
          <w:sz w:val="24"/>
          <w:szCs w:val="24"/>
        </w:rPr>
        <w:t>Неустойки в размере 0,1 (ноль целых и одна десятая) процента от стоимости Партии Товара за каждый день просрочки – в случае несвоевременного устранения недостатков, не влияющих на возможность эксплуатации (использования) Товара в целом.</w:t>
      </w:r>
    </w:p>
    <w:p>
      <w:pPr>
        <w:pStyle w:val="ListParagraph"/>
        <w:widowControl/>
        <w:numPr>
          <w:ilvl w:val="1"/>
          <w:numId w:val="2"/>
        </w:numPr>
        <w:tabs>
          <w:tab w:val="clear" w:pos="708"/>
          <w:tab w:val="left" w:pos="993" w:leader="none"/>
          <w:tab w:val="left" w:pos="1134" w:leader="none"/>
          <w:tab w:val="left" w:pos="1701" w:leader="none"/>
        </w:tabs>
        <w:ind w:left="0" w:firstLine="720"/>
        <w:jc w:val="both"/>
        <w:rPr>
          <w:sz w:val="24"/>
          <w:szCs w:val="24"/>
        </w:rPr>
      </w:pPr>
      <w:r>
        <w:rPr>
          <w:rFonts w:eastAsia="Calibri"/>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Pr>
          <w:sz w:val="24"/>
          <w:szCs w:val="24"/>
        </w:rPr>
        <w:t>.</w:t>
      </w:r>
    </w:p>
    <w:p>
      <w:pPr>
        <w:pStyle w:val="ListParagraph"/>
        <w:widowControl/>
        <w:numPr>
          <w:ilvl w:val="1"/>
          <w:numId w:val="2"/>
        </w:numPr>
        <w:tabs>
          <w:tab w:val="clear" w:pos="708"/>
          <w:tab w:val="left" w:pos="993" w:leader="none"/>
          <w:tab w:val="left" w:pos="1134" w:leader="none"/>
        </w:tabs>
        <w:ind w:left="0" w:firstLine="720"/>
        <w:jc w:val="both"/>
        <w:rPr>
          <w:bCs/>
          <w:sz w:val="24"/>
          <w:szCs w:val="24"/>
        </w:rPr>
      </w:pPr>
      <w:r>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3 к Договору. </w:t>
      </w:r>
    </w:p>
    <w:p>
      <w:pPr>
        <w:pStyle w:val="ListParagraph"/>
        <w:widowControl/>
        <w:numPr>
          <w:ilvl w:val="1"/>
          <w:numId w:val="2"/>
        </w:numPr>
        <w:tabs>
          <w:tab w:val="clear" w:pos="708"/>
          <w:tab w:val="left" w:pos="993" w:leader="none"/>
          <w:tab w:val="left" w:pos="1134" w:leader="none"/>
        </w:tabs>
        <w:ind w:left="0" w:firstLine="720"/>
        <w:jc w:val="both"/>
        <w:rPr>
          <w:bCs/>
          <w:sz w:val="24"/>
          <w:szCs w:val="24"/>
        </w:rPr>
      </w:pPr>
      <w:r>
        <w:rPr>
          <w:bCs/>
          <w:sz w:val="24"/>
          <w:szCs w:val="24"/>
        </w:rPr>
        <w:t xml:space="preserve">Если в результате составления и выставления Поставщиком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ListParagraph"/>
        <w:widowControl/>
        <w:tabs>
          <w:tab w:val="clear" w:pos="708"/>
          <w:tab w:val="left" w:pos="993" w:leader="none"/>
          <w:tab w:val="left" w:pos="1134" w:leader="none"/>
        </w:tabs>
        <w:ind w:left="0" w:firstLine="720"/>
        <w:jc w:val="both"/>
        <w:rPr>
          <w:bCs/>
          <w:sz w:val="24"/>
          <w:szCs w:val="24"/>
        </w:rPr>
      </w:pPr>
      <w:r>
        <w:rPr>
          <w:bCs/>
          <w:sz w:val="24"/>
          <w:szCs w:val="24"/>
        </w:rPr>
        <w:t>В случае нарушения Поставщиком сроков предоставления УПД, установленных пунктом 2.7 Договора, Покупатель вправе требовать уплаты Поставщиком штрафа в размере 50 000 (Пятидесяти тысяч) рублей за каждый случай нарушения.</w:t>
      </w:r>
    </w:p>
    <w:p>
      <w:pPr>
        <w:pStyle w:val="ListParagraph"/>
        <w:widowControl/>
        <w:numPr>
          <w:ilvl w:val="1"/>
          <w:numId w:val="2"/>
        </w:numPr>
        <w:tabs>
          <w:tab w:val="clear" w:pos="708"/>
          <w:tab w:val="left" w:pos="993" w:leader="none"/>
          <w:tab w:val="left" w:pos="1276" w:leader="none"/>
        </w:tabs>
        <w:ind w:left="0" w:firstLine="720"/>
        <w:jc w:val="both"/>
        <w:rPr>
          <w:bCs/>
          <w:sz w:val="24"/>
          <w:szCs w:val="24"/>
        </w:rPr>
      </w:pPr>
      <w:r>
        <w:rPr>
          <w:bCs/>
          <w:sz w:val="24"/>
          <w:szCs w:val="24"/>
        </w:rPr>
        <w:t xml:space="preserve">Поставщик несет ответственность перед Покупателем за причиненные убытки </w:t>
        <w:br/>
        <w:t xml:space="preserve">в размере фактически понесенных и документально подтвержденных расходов, возникших </w:t>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pPr>
        <w:pStyle w:val="ListParagraph"/>
        <w:widowControl/>
        <w:numPr>
          <w:ilvl w:val="1"/>
          <w:numId w:val="2"/>
        </w:numPr>
        <w:tabs>
          <w:tab w:val="clear" w:pos="708"/>
          <w:tab w:val="left" w:pos="993" w:leader="none"/>
          <w:tab w:val="left" w:pos="1276" w:leader="none"/>
        </w:tabs>
        <w:ind w:left="0" w:firstLine="720"/>
        <w:jc w:val="both"/>
        <w:rPr>
          <w:bCs/>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widowControl/>
        <w:numPr>
          <w:ilvl w:val="1"/>
          <w:numId w:val="2"/>
        </w:numPr>
        <w:tabs>
          <w:tab w:val="clear" w:pos="708"/>
          <w:tab w:val="left" w:pos="993" w:leader="none"/>
          <w:tab w:val="left" w:pos="1276" w:leader="none"/>
        </w:tabs>
        <w:ind w:left="0" w:firstLine="720"/>
        <w:jc w:val="both"/>
        <w:rPr>
          <w:bCs/>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1"/>
          <w:numId w:val="2"/>
        </w:numPr>
        <w:tabs>
          <w:tab w:val="clear" w:pos="708"/>
          <w:tab w:val="left" w:pos="993" w:leader="none"/>
          <w:tab w:val="left" w:pos="1276" w:leader="none"/>
        </w:tabs>
        <w:ind w:left="0" w:firstLine="720"/>
        <w:jc w:val="both"/>
        <w:rPr>
          <w:bCs/>
          <w:sz w:val="24"/>
          <w:szCs w:val="24"/>
        </w:rPr>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ListParagraph"/>
        <w:widowControl/>
        <w:numPr>
          <w:ilvl w:val="1"/>
          <w:numId w:val="2"/>
        </w:numPr>
        <w:tabs>
          <w:tab w:val="clear" w:pos="708"/>
          <w:tab w:val="left" w:pos="993" w:leader="none"/>
          <w:tab w:val="left" w:pos="1276" w:leader="none"/>
        </w:tabs>
        <w:ind w:left="0" w:firstLine="720"/>
        <w:jc w:val="both"/>
        <w:rPr>
          <w:bCs/>
          <w:sz w:val="24"/>
          <w:szCs w:val="24"/>
        </w:rPr>
      </w:pPr>
      <w:r>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br/>
        <w:t>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pPr>
        <w:pStyle w:val="Normal"/>
        <w:jc w:val="both"/>
        <w:rPr>
          <w:sz w:val="24"/>
          <w:szCs w:val="24"/>
        </w:rPr>
      </w:pPr>
      <w:r>
        <w:rPr>
          <w:sz w:val="24"/>
          <w:szCs w:val="24"/>
        </w:rPr>
      </w:r>
    </w:p>
    <w:p>
      <w:pPr>
        <w:pStyle w:val="Normal"/>
        <w:jc w:val="both"/>
        <w:rPr>
          <w:sz w:val="24"/>
          <w:szCs w:val="24"/>
        </w:rPr>
      </w:pPr>
      <w:r>
        <w:rPr>
          <w:sz w:val="24"/>
          <w:szCs w:val="24"/>
        </w:rPr>
      </w:r>
    </w:p>
    <w:p>
      <w:pPr>
        <w:pStyle w:val="ListParagraph"/>
        <w:widowControl/>
        <w:numPr>
          <w:ilvl w:val="0"/>
          <w:numId w:val="2"/>
        </w:numPr>
        <w:tabs>
          <w:tab w:val="clear" w:pos="708"/>
          <w:tab w:val="left" w:pos="0" w:leader="none"/>
          <w:tab w:val="left" w:pos="284" w:leader="none"/>
        </w:tabs>
        <w:ind w:left="0" w:hanging="0"/>
        <w:jc w:val="center"/>
        <w:rPr>
          <w:b/>
          <w:bCs/>
          <w:sz w:val="24"/>
          <w:szCs w:val="24"/>
        </w:rPr>
      </w:pPr>
      <w:r>
        <w:rPr>
          <w:b/>
          <w:bCs/>
          <w:sz w:val="24"/>
          <w:szCs w:val="24"/>
        </w:rPr>
        <w:t>Конфиденциальность</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5"/>
        </w:numPr>
        <w:tabs>
          <w:tab w:val="clear" w:pos="708"/>
          <w:tab w:val="left" w:pos="0" w:leader="none"/>
          <w:tab w:val="left" w:pos="709" w:leader="none"/>
          <w:tab w:val="left" w:pos="1418" w:leader="none"/>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widowControl/>
        <w:numPr>
          <w:ilvl w:val="0"/>
          <w:numId w:val="5"/>
        </w:numPr>
        <w:tabs>
          <w:tab w:val="clear" w:pos="708"/>
          <w:tab w:val="left" w:pos="0" w:leader="none"/>
          <w:tab w:val="left" w:pos="709" w:leader="none"/>
          <w:tab w:val="left" w:pos="1418" w:leader="none"/>
        </w:tabs>
        <w:ind w:left="0" w:firstLine="709"/>
        <w:jc w:val="both"/>
        <w:rPr>
          <w:bCs/>
          <w:sz w:val="24"/>
          <w:szCs w:val="24"/>
        </w:rPr>
      </w:pPr>
      <w:r>
        <w:rPr>
          <w:bCs/>
          <w:sz w:val="24"/>
          <w:szCs w:val="24"/>
        </w:rPr>
        <w:t xml:space="preserve">данная Информация не относится к категории общедоступной </w:t>
        <w:br/>
        <w:t>или обязательной к раскрытию Покупателем в соответствии с законодательством Российской Федерации.</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r>
        <w:rPr>
          <w:bCs/>
          <w:sz w:val="24"/>
          <w:szCs w:val="24"/>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r>
        <w:rPr>
          <w:bCs/>
          <w:sz w:val="24"/>
          <w:szCs w:val="24"/>
        </w:rPr>
        <w:t>Информация может включать в себя, в том числе, но не ограничиваясь:</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учетные регистры бухгалтерского учета;</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бизнес-планы;</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сведения о находящихся на регистрации товарных знаках Покупателя, а также </w:t>
        <w:br/>
        <w:t>об объектах интеллектуальной собственности Покупателя, сведения о которых не являются опубликованными;</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сведения о Поставщиках, поставщиках оборудования и материалов, а также </w:t>
        <w:br/>
        <w:t>о покупателях продукции Покупателя и их аффилированных лицах;</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сведения об объемах производства и / или реализации продукции и услуг Покупателя или его аффилированных лиц;</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bookmarkStart w:id="6"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6"/>
      <w:r>
        <w:rPr>
          <w:bCs/>
          <w:sz w:val="24"/>
          <w:szCs w:val="24"/>
        </w:rPr>
        <w:t xml:space="preserve"> </w:t>
      </w:r>
    </w:p>
    <w:p>
      <w:pPr>
        <w:pStyle w:val="ListParagraph"/>
        <w:widowControl/>
        <w:numPr>
          <w:ilvl w:val="2"/>
          <w:numId w:val="2"/>
        </w:numPr>
        <w:tabs>
          <w:tab w:val="clear" w:pos="708"/>
          <w:tab w:val="left" w:pos="0" w:leader="none"/>
          <w:tab w:val="left" w:pos="1418" w:leader="none"/>
        </w:tabs>
        <w:ind w:left="0" w:firstLine="709"/>
        <w:jc w:val="both"/>
        <w:rPr>
          <w:bCs/>
          <w:sz w:val="24"/>
          <w:szCs w:val="24"/>
        </w:rPr>
      </w:pPr>
      <w:r>
        <w:rPr>
          <w:bCs/>
          <w:sz w:val="24"/>
          <w:szCs w:val="24"/>
        </w:rPr>
        <w:t xml:space="preserve">Не разглашать, не обсуждать содержание, не предоставлять копий, </w:t>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w:t>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 6.6.7 Договора.</w:t>
      </w:r>
    </w:p>
    <w:p>
      <w:pPr>
        <w:pStyle w:val="ListParagraph"/>
        <w:widowControl/>
        <w:numPr>
          <w:ilvl w:val="2"/>
          <w:numId w:val="2"/>
        </w:numPr>
        <w:tabs>
          <w:tab w:val="clear" w:pos="708"/>
          <w:tab w:val="left" w:pos="0" w:leader="none"/>
          <w:tab w:val="left" w:pos="1418" w:leader="none"/>
        </w:tabs>
        <w:ind w:left="0" w:firstLine="709"/>
        <w:jc w:val="both"/>
        <w:rPr>
          <w:bCs/>
          <w:sz w:val="24"/>
          <w:szCs w:val="24"/>
        </w:rPr>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br/>
        <w:t>в отношении защиты Информации обычно используемые им меры защиты.</w:t>
      </w:r>
    </w:p>
    <w:p>
      <w:pPr>
        <w:pStyle w:val="ListParagraph"/>
        <w:widowControl/>
        <w:numPr>
          <w:ilvl w:val="2"/>
          <w:numId w:val="2"/>
        </w:numPr>
        <w:tabs>
          <w:tab w:val="clear" w:pos="708"/>
          <w:tab w:val="left" w:pos="0" w:leader="none"/>
          <w:tab w:val="left" w:pos="1418" w:leader="none"/>
        </w:tabs>
        <w:ind w:left="0" w:firstLine="709"/>
        <w:jc w:val="both"/>
        <w:rPr>
          <w:bCs/>
          <w:sz w:val="24"/>
          <w:szCs w:val="24"/>
        </w:rPr>
      </w:pPr>
      <w:r>
        <w:rPr>
          <w:bCs/>
          <w:sz w:val="24"/>
          <w:szCs w:val="24"/>
        </w:rPr>
        <w:t xml:space="preserve">Использовать Информацию исключительно для целей, для которых она была предоставлена. </w:t>
      </w:r>
    </w:p>
    <w:p>
      <w:pPr>
        <w:pStyle w:val="ListParagraph"/>
        <w:widowControl/>
        <w:numPr>
          <w:ilvl w:val="2"/>
          <w:numId w:val="2"/>
        </w:numPr>
        <w:tabs>
          <w:tab w:val="clear" w:pos="708"/>
          <w:tab w:val="left" w:pos="0" w:leader="none"/>
          <w:tab w:val="left" w:pos="1418" w:leader="none"/>
        </w:tabs>
        <w:ind w:left="0" w:firstLine="709"/>
        <w:jc w:val="both"/>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numPr>
          <w:ilvl w:val="2"/>
          <w:numId w:val="2"/>
        </w:numPr>
        <w:tabs>
          <w:tab w:val="clear" w:pos="708"/>
          <w:tab w:val="left" w:pos="0" w:leader="none"/>
          <w:tab w:val="left" w:pos="1418" w:leader="none"/>
        </w:tabs>
        <w:ind w:left="0" w:firstLine="709"/>
        <w:jc w:val="both"/>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pPr>
        <w:pStyle w:val="ListParagraph"/>
        <w:widowControl/>
        <w:numPr>
          <w:ilvl w:val="2"/>
          <w:numId w:val="2"/>
        </w:numPr>
        <w:tabs>
          <w:tab w:val="clear" w:pos="708"/>
          <w:tab w:val="left" w:pos="0" w:leader="none"/>
          <w:tab w:val="left" w:pos="1418" w:leader="none"/>
        </w:tabs>
        <w:ind w:left="0" w:firstLine="709"/>
        <w:jc w:val="both"/>
        <w:rPr>
          <w:bCs/>
          <w:sz w:val="24"/>
          <w:szCs w:val="24"/>
        </w:rPr>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br/>
        <w:t xml:space="preserve">на технических средствах Поставщика. При этом Покупатель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widowControl/>
        <w:numPr>
          <w:ilvl w:val="2"/>
          <w:numId w:val="2"/>
        </w:numPr>
        <w:tabs>
          <w:tab w:val="clear" w:pos="708"/>
          <w:tab w:val="left" w:pos="0" w:leader="none"/>
          <w:tab w:val="left" w:pos="1418" w:leader="none"/>
        </w:tabs>
        <w:ind w:left="0" w:firstLine="709"/>
        <w:jc w:val="both"/>
        <w:rPr>
          <w:bCs/>
          <w:sz w:val="24"/>
          <w:szCs w:val="24"/>
        </w:rPr>
      </w:pPr>
      <w:bookmarkStart w:id="7" w:name="_Ref361337832"/>
      <w:r>
        <w:rPr>
          <w:bCs/>
          <w:sz w:val="24"/>
          <w:szCs w:val="24"/>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7"/>
    </w:p>
    <w:p>
      <w:pPr>
        <w:pStyle w:val="ListParagraph"/>
        <w:widowControl/>
        <w:numPr>
          <w:ilvl w:val="2"/>
          <w:numId w:val="2"/>
        </w:numPr>
        <w:tabs>
          <w:tab w:val="clear" w:pos="708"/>
          <w:tab w:val="left" w:pos="0" w:leader="none"/>
          <w:tab w:val="left" w:pos="1418" w:leader="none"/>
        </w:tabs>
        <w:ind w:left="0" w:firstLine="709"/>
        <w:jc w:val="both"/>
        <w:rPr>
          <w:bCs/>
          <w:sz w:val="24"/>
          <w:szCs w:val="24"/>
        </w:rPr>
      </w:pPr>
      <w:r>
        <w:rPr>
          <w:bCs/>
          <w:sz w:val="24"/>
          <w:szCs w:val="24"/>
        </w:rPr>
        <w:t>Не разглашать третьим лицам факты передачи или получения Информации.</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bookmarkStart w:id="8" w:name="_Ref361337863"/>
      <w:r>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br/>
        <w:t>с даты получения соответствующего письменного требования Покупателя.</w:t>
      </w:r>
      <w:bookmarkEnd w:id="8"/>
    </w:p>
    <w:p>
      <w:pPr>
        <w:pStyle w:val="Normal"/>
        <w:numPr>
          <w:ilvl w:val="1"/>
          <w:numId w:val="2"/>
        </w:numPr>
        <w:tabs>
          <w:tab w:val="clear" w:pos="708"/>
          <w:tab w:val="left" w:pos="0" w:leader="none"/>
          <w:tab w:val="left" w:pos="1134" w:leader="none"/>
        </w:tabs>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pPr>
        <w:pStyle w:val="Normal"/>
        <w:jc w:val="both"/>
        <w:rPr>
          <w:bCs/>
          <w:sz w:val="24"/>
          <w:szCs w:val="24"/>
        </w:rPr>
      </w:pPr>
      <w:r>
        <w:rPr>
          <w:bCs/>
          <w:sz w:val="24"/>
          <w:szCs w:val="24"/>
        </w:rPr>
      </w:r>
    </w:p>
    <w:p>
      <w:pPr>
        <w:pStyle w:val="ListParagraph"/>
        <w:widowControl/>
        <w:numPr>
          <w:ilvl w:val="0"/>
          <w:numId w:val="2"/>
        </w:numPr>
        <w:tabs>
          <w:tab w:val="clear" w:pos="708"/>
          <w:tab w:val="left" w:pos="426" w:leader="none"/>
        </w:tabs>
        <w:ind w:left="0" w:hanging="0"/>
        <w:jc w:val="center"/>
        <w:rPr>
          <w:b/>
          <w:bCs/>
          <w:sz w:val="24"/>
          <w:szCs w:val="24"/>
        </w:rPr>
      </w:pPr>
      <w:r>
        <w:rPr>
          <w:b/>
          <w:bCs/>
          <w:sz w:val="24"/>
          <w:szCs w:val="24"/>
        </w:rPr>
        <w:t>Разрешение споров</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Споры, указанные в пункте 7.1 Договора, которые не были урегулированы Сторонами путем переговоров, подлежат разрешению в Арбитражном суде Пермского края в соответствии с законодательством Российской Федерации.</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13.7 Договора.</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Условия настоящего раздела сохраняют свою силу в случае признания Договора незаключенным и / или недействительным.</w:t>
      </w:r>
    </w:p>
    <w:p>
      <w:pPr>
        <w:pStyle w:val="Normal"/>
        <w:jc w:val="both"/>
        <w:rPr>
          <w:sz w:val="24"/>
          <w:szCs w:val="24"/>
        </w:rPr>
      </w:pPr>
      <w:r>
        <w:rPr>
          <w:sz w:val="24"/>
          <w:szCs w:val="24"/>
        </w:rPr>
      </w:r>
    </w:p>
    <w:p>
      <w:pPr>
        <w:pStyle w:val="ListParagraph"/>
        <w:widowControl/>
        <w:numPr>
          <w:ilvl w:val="0"/>
          <w:numId w:val="2"/>
        </w:numPr>
        <w:tabs>
          <w:tab w:val="clear" w:pos="708"/>
          <w:tab w:val="left" w:pos="426" w:leader="none"/>
        </w:tabs>
        <w:ind w:left="0" w:hanging="0"/>
        <w:jc w:val="center"/>
        <w:rPr>
          <w:b/>
          <w:bCs/>
          <w:sz w:val="24"/>
          <w:szCs w:val="24"/>
        </w:rPr>
      </w:pPr>
      <w:r>
        <w:rPr>
          <w:b/>
          <w:bCs/>
          <w:sz w:val="24"/>
          <w:szCs w:val="24"/>
        </w:rPr>
        <w:t>Антикоррупционная оговорка</w:t>
      </w:r>
    </w:p>
    <w:p>
      <w:pPr>
        <w:pStyle w:val="ListParagraph"/>
        <w:numPr>
          <w:ilvl w:val="1"/>
          <w:numId w:val="2"/>
        </w:numPr>
        <w:tabs>
          <w:tab w:val="clear" w:pos="708"/>
          <w:tab w:val="left" w:pos="1134" w:leader="none"/>
        </w:tabs>
        <w:ind w:left="0" w:firstLine="709"/>
        <w:jc w:val="both"/>
        <w:rPr>
          <w:bCs/>
          <w:color w:val="000000"/>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tabs>
          <w:tab w:val="clear" w:pos="708"/>
          <w:tab w:val="left" w:pos="1134" w:leader="none"/>
        </w:tabs>
        <w:ind w:firstLine="709"/>
        <w:jc w:val="both"/>
        <w:rPr>
          <w:bCs/>
          <w:color w:val="000000"/>
          <w:sz w:val="24"/>
          <w:szCs w:val="24"/>
        </w:rPr>
      </w:pPr>
      <w:r>
        <w:rPr>
          <w:bCs/>
          <w:color w:val="000000"/>
          <w:sz w:val="24"/>
          <w:szCs w:val="24"/>
        </w:rPr>
        <w:t>8.2.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tabs>
          <w:tab w:val="clear" w:pos="708"/>
          <w:tab w:val="left" w:pos="1134" w:leader="none"/>
        </w:tabs>
        <w:ind w:firstLine="709"/>
        <w:jc w:val="both"/>
        <w:rPr>
          <w:bCs/>
          <w:color w:val="000000"/>
          <w:sz w:val="24"/>
          <w:szCs w:val="24"/>
        </w:rPr>
      </w:pPr>
      <w:r>
        <w:rPr>
          <w:bCs/>
          <w:color w:val="000000"/>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tabs>
          <w:tab w:val="clear" w:pos="708"/>
          <w:tab w:val="left" w:pos="1134" w:leader="none"/>
        </w:tabs>
        <w:ind w:firstLine="709"/>
        <w:jc w:val="both"/>
        <w:rPr>
          <w:bCs/>
          <w:color w:val="000000"/>
          <w:sz w:val="24"/>
          <w:szCs w:val="24"/>
        </w:rPr>
      </w:pPr>
      <w:r>
        <w:rPr>
          <w:bCs/>
          <w:color w:val="000000"/>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tabs>
          <w:tab w:val="clear" w:pos="708"/>
          <w:tab w:val="left" w:pos="1134" w:leader="none"/>
        </w:tabs>
        <w:ind w:firstLine="709"/>
        <w:jc w:val="both"/>
        <w:rPr>
          <w:bCs/>
          <w:color w:val="000000"/>
          <w:sz w:val="24"/>
          <w:szCs w:val="24"/>
        </w:rPr>
      </w:pPr>
      <w:r>
        <w:rPr>
          <w:bCs/>
          <w:color w:val="000000"/>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tabs>
          <w:tab w:val="clear" w:pos="708"/>
          <w:tab w:val="left" w:pos="1134" w:leader="none"/>
        </w:tabs>
        <w:ind w:firstLine="709"/>
        <w:jc w:val="both"/>
        <w:rPr>
          <w:bCs/>
          <w:color w:val="000000"/>
          <w:sz w:val="24"/>
          <w:szCs w:val="24"/>
        </w:rPr>
      </w:pPr>
      <w:r>
        <w:rPr>
          <w:bCs/>
          <w:color w:val="000000"/>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tabs>
          <w:tab w:val="clear" w:pos="708"/>
          <w:tab w:val="left" w:pos="567" w:leader="none"/>
          <w:tab w:val="left" w:pos="1134" w:leader="none"/>
        </w:tabs>
        <w:ind w:firstLine="709"/>
        <w:jc w:val="both"/>
        <w:rPr>
          <w:color w:val="000000"/>
          <w:sz w:val="24"/>
          <w:szCs w:val="24"/>
        </w:rPr>
      </w:pPr>
      <w:r>
        <w:rPr>
          <w:color w:val="000000"/>
          <w:sz w:val="24"/>
          <w:szCs w:val="24"/>
        </w:rPr>
        <w:t xml:space="preserve">8.7.  Каналы связи Линия доверия Группы РусГидро: </w:t>
      </w:r>
    </w:p>
    <w:p>
      <w:pPr>
        <w:pStyle w:val="Normal"/>
        <w:tabs>
          <w:tab w:val="clear" w:pos="708"/>
          <w:tab w:val="left" w:pos="567" w:leader="none"/>
          <w:tab w:val="left" w:pos="1134" w:leader="none"/>
        </w:tabs>
        <w:ind w:firstLine="709"/>
        <w:jc w:val="both"/>
        <w:rPr>
          <w:sz w:val="24"/>
          <w:szCs w:val="24"/>
        </w:rPr>
      </w:pPr>
      <w:r>
        <w:rPr>
          <w:sz w:val="24"/>
          <w:szCs w:val="24"/>
        </w:rPr>
        <w:t>8.7.1. Электронная почта: ld@rushydro.ru.</w:t>
      </w:r>
    </w:p>
    <w:p>
      <w:pPr>
        <w:pStyle w:val="Normal"/>
        <w:tabs>
          <w:tab w:val="clear" w:pos="708"/>
          <w:tab w:val="left" w:pos="567" w:leader="none"/>
          <w:tab w:val="left" w:pos="1134" w:leader="none"/>
        </w:tabs>
        <w:ind w:firstLine="709"/>
        <w:jc w:val="both"/>
        <w:rPr>
          <w:sz w:val="24"/>
          <w:szCs w:val="24"/>
        </w:rPr>
      </w:pPr>
      <w:r>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ind w:firstLine="709"/>
        <w:jc w:val="both"/>
        <w:rPr>
          <w:sz w:val="24"/>
          <w:szCs w:val="24"/>
        </w:rPr>
      </w:pPr>
      <w:r>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tabs>
          <w:tab w:val="clear" w:pos="708"/>
          <w:tab w:val="left" w:pos="0" w:leader="none"/>
          <w:tab w:val="left" w:pos="284" w:leader="none"/>
          <w:tab w:val="left" w:pos="567" w:leader="none"/>
        </w:tabs>
        <w:ind w:left="0" w:firstLine="709"/>
        <w:jc w:val="both"/>
        <w:rPr>
          <w:b/>
          <w:bCs/>
          <w:sz w:val="24"/>
          <w:szCs w:val="24"/>
        </w:rPr>
      </w:pPr>
      <w:r>
        <w:rPr>
          <w:b/>
          <w:bCs/>
          <w:sz w:val="24"/>
          <w:szCs w:val="24"/>
        </w:rPr>
      </w:r>
    </w:p>
    <w:p>
      <w:pPr>
        <w:pStyle w:val="ListParagraph"/>
        <w:widowControl/>
        <w:numPr>
          <w:ilvl w:val="0"/>
          <w:numId w:val="2"/>
        </w:numPr>
        <w:tabs>
          <w:tab w:val="clear" w:pos="708"/>
          <w:tab w:val="left" w:pos="426" w:leader="none"/>
        </w:tabs>
        <w:ind w:left="0" w:hanging="0"/>
        <w:jc w:val="center"/>
        <w:rPr>
          <w:b/>
          <w:bCs/>
          <w:sz w:val="24"/>
          <w:szCs w:val="24"/>
        </w:rPr>
      </w:pPr>
      <w:r>
        <w:rPr>
          <w:b/>
          <w:bCs/>
          <w:sz w:val="24"/>
          <w:szCs w:val="24"/>
        </w:rPr>
        <w:t>Обстоятельства непреодолимой силы (форс-мажор)</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tabs>
          <w:tab w:val="clear" w:pos="708"/>
          <w:tab w:val="left" w:pos="0" w:leader="none"/>
          <w:tab w:val="left" w:pos="568" w:leader="none"/>
          <w:tab w:val="left" w:pos="1418" w:leader="none"/>
        </w:tabs>
        <w:ind w:left="0" w:firstLine="709"/>
        <w:jc w:val="both"/>
        <w:rPr>
          <w:bCs/>
          <w:sz w:val="24"/>
          <w:szCs w:val="24"/>
        </w:rPr>
      </w:pPr>
      <w:r>
        <w:rPr>
          <w:bCs/>
          <w:sz w:val="24"/>
          <w:szCs w:val="24"/>
        </w:rPr>
        <w:t xml:space="preserve">При этом любая из Сторон вправе отказаться от исполнения Договора </w:t>
        <w:br/>
        <w:t>в одностороннем внесудебном порядке.</w:t>
      </w:r>
    </w:p>
    <w:p>
      <w:pPr>
        <w:pStyle w:val="Normal"/>
        <w:jc w:val="both"/>
        <w:rPr>
          <w:sz w:val="24"/>
          <w:szCs w:val="24"/>
        </w:rPr>
      </w:pPr>
      <w:r>
        <w:rPr>
          <w:sz w:val="24"/>
          <w:szCs w:val="24"/>
        </w:rPr>
      </w:r>
    </w:p>
    <w:p>
      <w:pPr>
        <w:pStyle w:val="Normal"/>
        <w:widowControl/>
        <w:numPr>
          <w:ilvl w:val="0"/>
          <w:numId w:val="2"/>
        </w:numPr>
        <w:tabs>
          <w:tab w:val="clear" w:pos="708"/>
          <w:tab w:val="left" w:pos="426" w:leader="none"/>
        </w:tabs>
        <w:spacing w:before="0" w:after="0"/>
        <w:ind w:left="0" w:hanging="0"/>
        <w:contextualSpacing/>
        <w:jc w:val="center"/>
        <w:rPr>
          <w:b/>
          <w:bCs/>
          <w:sz w:val="24"/>
          <w:szCs w:val="24"/>
        </w:rPr>
      </w:pPr>
      <w:r>
        <w:rPr>
          <w:b/>
          <w:bCs/>
          <w:sz w:val="24"/>
          <w:szCs w:val="24"/>
        </w:rPr>
        <w:t>Особые положения</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sz w:val="24"/>
            <w:szCs w:val="24"/>
          </w:rPr>
          <w:t>№ 18162/09</w:t>
        </w:r>
      </w:hyperlink>
      <w:r>
        <w:rPr>
          <w:bCs/>
          <w:sz w:val="24"/>
          <w:szCs w:val="24"/>
        </w:rPr>
        <w:t xml:space="preserve"> и от 25.05.2010 </w:t>
      </w:r>
      <w:hyperlink r:id="rId3">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4">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10.1 Договора, а также обеспечить прекращение участия таких организаций в исполнении Договора.</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В случае нарушения Поставщиком обязательств, установленных пунктами 10.1, 10.2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10.3 Договора.</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pPr>
        <w:pStyle w:val="Normal"/>
        <w:tabs>
          <w:tab w:val="clear" w:pos="708"/>
          <w:tab w:val="left" w:pos="1134" w:leader="none"/>
        </w:tabs>
        <w:ind w:firstLine="709"/>
        <w:jc w:val="both"/>
        <w:rPr>
          <w:bCs/>
          <w:sz w:val="24"/>
          <w:szCs w:val="24"/>
        </w:rPr>
      </w:pPr>
      <w:r>
        <w:rPr>
          <w:bCs/>
          <w:sz w:val="24"/>
          <w:szCs w:val="24"/>
        </w:rPr>
      </w:r>
    </w:p>
    <w:p>
      <w:pPr>
        <w:pStyle w:val="ListParagraph"/>
        <w:widowControl/>
        <w:numPr>
          <w:ilvl w:val="0"/>
          <w:numId w:val="2"/>
        </w:numPr>
        <w:tabs>
          <w:tab w:val="clear" w:pos="708"/>
          <w:tab w:val="left" w:pos="426" w:leader="none"/>
          <w:tab w:val="left" w:pos="567" w:leader="none"/>
        </w:tabs>
        <w:ind w:left="0" w:hanging="0"/>
        <w:jc w:val="center"/>
        <w:rPr>
          <w:b/>
          <w:sz w:val="24"/>
          <w:szCs w:val="24"/>
        </w:rPr>
      </w:pPr>
      <w:r>
        <w:rPr>
          <w:b/>
          <w:bCs/>
          <w:sz w:val="24"/>
          <w:szCs w:val="24"/>
        </w:rPr>
        <w:t>Заверения</w:t>
      </w:r>
      <w:r>
        <w:rPr>
          <w:b/>
          <w:sz w:val="24"/>
          <w:szCs w:val="24"/>
        </w:rPr>
        <w:t xml:space="preserve"> Сторон</w:t>
      </w:r>
    </w:p>
    <w:p>
      <w:pPr>
        <w:pStyle w:val="ListParagraph"/>
        <w:widowControl/>
        <w:numPr>
          <w:ilvl w:val="1"/>
          <w:numId w:val="2"/>
        </w:numPr>
        <w:tabs>
          <w:tab w:val="clear" w:pos="708"/>
          <w:tab w:val="left" w:pos="0" w:leader="none"/>
          <w:tab w:val="left" w:pos="1134" w:leader="none"/>
          <w:tab w:val="left" w:pos="1418" w:leader="none"/>
        </w:tabs>
        <w:ind w:left="0" w:firstLine="709"/>
        <w:jc w:val="both"/>
        <w:rPr>
          <w:sz w:val="24"/>
          <w:szCs w:val="24"/>
        </w:rPr>
      </w:pPr>
      <w:r>
        <w:rPr>
          <w:bCs/>
          <w:sz w:val="24"/>
          <w:szCs w:val="24"/>
        </w:rPr>
        <w:t>Каждая</w:t>
      </w:r>
      <w:r>
        <w:rPr>
          <w:sz w:val="24"/>
          <w:szCs w:val="24"/>
        </w:rPr>
        <w:t xml:space="preserve"> из Сторон заявляет и подтверждает другой Стороне, что: </w:t>
      </w:r>
    </w:p>
    <w:p>
      <w:pPr>
        <w:pStyle w:val="ListParagraph"/>
        <w:widowControl/>
        <w:numPr>
          <w:ilvl w:val="0"/>
          <w:numId w:val="7"/>
        </w:numPr>
        <w:tabs>
          <w:tab w:val="clear" w:pos="708"/>
          <w:tab w:val="left" w:pos="0" w:leader="none"/>
          <w:tab w:val="left" w:pos="709" w:leader="none"/>
          <w:tab w:val="left" w:pos="1418" w:leader="none"/>
        </w:tabs>
        <w:ind w:left="0" w:firstLine="709"/>
        <w:jc w:val="both"/>
        <w:rPr>
          <w:sz w:val="24"/>
          <w:szCs w:val="24"/>
        </w:rPr>
      </w:pPr>
      <w:r>
        <w:rPr>
          <w:sz w:val="24"/>
          <w:szCs w:val="24"/>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widowControl/>
        <w:numPr>
          <w:ilvl w:val="0"/>
          <w:numId w:val="7"/>
        </w:numPr>
        <w:tabs>
          <w:tab w:val="clear" w:pos="708"/>
          <w:tab w:val="left" w:pos="0" w:leader="none"/>
          <w:tab w:val="left" w:pos="709" w:leader="none"/>
          <w:tab w:val="left" w:pos="1418" w:leader="none"/>
        </w:tabs>
        <w:ind w:left="0" w:firstLine="709"/>
        <w:jc w:val="both"/>
        <w:rPr>
          <w:sz w:val="24"/>
          <w:szCs w:val="24"/>
        </w:rPr>
      </w:pPr>
      <w:r>
        <w:rPr>
          <w:sz w:val="24"/>
          <w:szCs w:val="24"/>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widowControl/>
        <w:numPr>
          <w:ilvl w:val="0"/>
          <w:numId w:val="7"/>
        </w:numPr>
        <w:tabs>
          <w:tab w:val="clear" w:pos="708"/>
          <w:tab w:val="left" w:pos="0" w:leader="none"/>
          <w:tab w:val="left" w:pos="709" w:leader="none"/>
          <w:tab w:val="left" w:pos="1418" w:leader="none"/>
        </w:tabs>
        <w:ind w:left="0" w:firstLine="709"/>
        <w:jc w:val="both"/>
        <w:rPr>
          <w:sz w:val="24"/>
          <w:szCs w:val="24"/>
        </w:rPr>
      </w:pPr>
      <w:r>
        <w:rPr>
          <w:sz w:val="24"/>
          <w:szCs w:val="24"/>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widowControl/>
        <w:numPr>
          <w:ilvl w:val="0"/>
          <w:numId w:val="7"/>
        </w:numPr>
        <w:tabs>
          <w:tab w:val="clear" w:pos="708"/>
          <w:tab w:val="left" w:pos="0" w:leader="none"/>
          <w:tab w:val="left" w:pos="709" w:leader="none"/>
          <w:tab w:val="left" w:pos="1418" w:leader="none"/>
        </w:tabs>
        <w:ind w:lef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pPr>
        <w:pStyle w:val="ListParagraph"/>
        <w:widowControl/>
        <w:numPr>
          <w:ilvl w:val="0"/>
          <w:numId w:val="7"/>
        </w:numPr>
        <w:tabs>
          <w:tab w:val="clear" w:pos="708"/>
          <w:tab w:val="left" w:pos="0" w:leader="none"/>
          <w:tab w:val="left" w:pos="709" w:leader="none"/>
          <w:tab w:val="left" w:pos="1418" w:leader="none"/>
        </w:tabs>
        <w:ind w:left="0" w:firstLine="709"/>
        <w:jc w:val="both"/>
        <w:rPr>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br/>
        <w:t xml:space="preserve">или в связи с ним. </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Поставщик заявляет и заверяет Покупателя в том, что на момент заключения Договора:</w:t>
      </w:r>
    </w:p>
    <w:p>
      <w:pPr>
        <w:pStyle w:val="ListParagraph"/>
        <w:widowControl/>
        <w:numPr>
          <w:ilvl w:val="0"/>
          <w:numId w:val="9"/>
        </w:numPr>
        <w:tabs>
          <w:tab w:val="clear" w:pos="708"/>
          <w:tab w:val="left" w:pos="0" w:leader="none"/>
          <w:tab w:val="left" w:pos="709" w:leader="none"/>
        </w:tabs>
        <w:ind w:left="0" w:firstLine="709"/>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9"/>
        </w:numPr>
        <w:tabs>
          <w:tab w:val="clear" w:pos="708"/>
          <w:tab w:val="left" w:pos="0" w:leader="none"/>
          <w:tab w:val="left" w:pos="709" w:leader="none"/>
        </w:tabs>
        <w:ind w:left="0" w:firstLine="709"/>
        <w:jc w:val="both"/>
        <w:rPr>
          <w:sz w:val="24"/>
          <w:szCs w:val="24"/>
        </w:rPr>
      </w:pPr>
      <w:r>
        <w:rPr>
          <w:sz w:val="24"/>
          <w:szCs w:val="24"/>
        </w:rPr>
        <w:t>руководителем Поставщика является лицо, не являющееся массовым руководителем;</w:t>
      </w:r>
    </w:p>
    <w:p>
      <w:pPr>
        <w:pStyle w:val="ListParagraph"/>
        <w:widowControl/>
        <w:numPr>
          <w:ilvl w:val="0"/>
          <w:numId w:val="9"/>
        </w:numPr>
        <w:tabs>
          <w:tab w:val="clear" w:pos="708"/>
          <w:tab w:val="left" w:pos="0" w:leader="none"/>
          <w:tab w:val="left" w:pos="709" w:leader="none"/>
        </w:tabs>
        <w:ind w:left="0" w:firstLine="709"/>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pPr>
        <w:pStyle w:val="ListParagraph"/>
        <w:widowControl/>
        <w:numPr>
          <w:ilvl w:val="0"/>
          <w:numId w:val="9"/>
        </w:numPr>
        <w:tabs>
          <w:tab w:val="clear" w:pos="708"/>
          <w:tab w:val="left" w:pos="0" w:leader="none"/>
          <w:tab w:val="left" w:pos="709" w:leader="none"/>
        </w:tabs>
        <w:ind w:left="0" w:firstLine="709"/>
        <w:jc w:val="both"/>
        <w:rPr>
          <w:sz w:val="24"/>
          <w:szCs w:val="24"/>
        </w:rPr>
      </w:pPr>
      <w:r>
        <w:rPr>
          <w:sz w:val="24"/>
          <w:szCs w:val="24"/>
        </w:rPr>
        <w:t xml:space="preserve">Поставщик своевременно и в полном объеме уплачивает налоги и сборы </w:t>
        <w:br/>
        <w:t>в соответствии с законодательством Российской Федерации;</w:t>
      </w:r>
    </w:p>
    <w:p>
      <w:pPr>
        <w:pStyle w:val="ListParagraph"/>
        <w:widowControl/>
        <w:numPr>
          <w:ilvl w:val="0"/>
          <w:numId w:val="8"/>
        </w:numPr>
        <w:tabs>
          <w:tab w:val="clear" w:pos="708"/>
          <w:tab w:val="left" w:pos="0" w:leader="none"/>
          <w:tab w:val="left" w:pos="567" w:leader="none"/>
        </w:tabs>
        <w:ind w:left="0" w:firstLine="709"/>
        <w:jc w:val="both"/>
        <w:rPr>
          <w:sz w:val="24"/>
          <w:szCs w:val="24"/>
        </w:rPr>
      </w:pPr>
      <w:r>
        <w:rPr>
          <w:sz w:val="24"/>
          <w:szCs w:val="24"/>
        </w:rPr>
        <w:t xml:space="preserve">Поставщик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Договора или в связи с ним;</w:t>
      </w:r>
    </w:p>
    <w:p>
      <w:pPr>
        <w:pStyle w:val="ListParagraph"/>
        <w:widowControl/>
        <w:numPr>
          <w:ilvl w:val="0"/>
          <w:numId w:val="8"/>
        </w:numPr>
        <w:tabs>
          <w:tab w:val="clear" w:pos="708"/>
          <w:tab w:val="left" w:pos="0" w:leader="none"/>
          <w:tab w:val="left" w:pos="567" w:leader="none"/>
        </w:tabs>
        <w:ind w:left="0" w:firstLine="709"/>
        <w:jc w:val="both"/>
        <w:rPr>
          <w:sz w:val="24"/>
          <w:szCs w:val="24"/>
        </w:rPr>
      </w:pPr>
      <w:r>
        <w:rPr>
          <w:sz w:val="24"/>
          <w:szCs w:val="24"/>
        </w:rPr>
        <w:t xml:space="preserve">Поставщик тщательно изучил всю информацию, связанную с Договором, </w:t>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pPr>
        <w:pStyle w:val="ListParagraph"/>
        <w:widowControl/>
        <w:numPr>
          <w:ilvl w:val="0"/>
          <w:numId w:val="8"/>
        </w:numPr>
        <w:tabs>
          <w:tab w:val="clear" w:pos="708"/>
          <w:tab w:val="left" w:pos="0" w:leader="none"/>
          <w:tab w:val="left" w:pos="567" w:leader="none"/>
        </w:tabs>
        <w:ind w:left="0" w:firstLine="709"/>
        <w:jc w:val="both"/>
        <w:rPr>
          <w:sz w:val="24"/>
          <w:szCs w:val="24"/>
        </w:rPr>
      </w:pPr>
      <w:r>
        <w:rPr>
          <w:sz w:val="24"/>
          <w:szCs w:val="24"/>
        </w:rPr>
        <w:t xml:space="preserve">Поставщик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8"/>
        </w:numPr>
        <w:tabs>
          <w:tab w:val="clear" w:pos="708"/>
          <w:tab w:val="left" w:pos="0" w:leader="none"/>
          <w:tab w:val="left" w:pos="567" w:leader="none"/>
        </w:tabs>
        <w:ind w:left="0" w:firstLine="709"/>
        <w:jc w:val="both"/>
        <w:rPr>
          <w:sz w:val="24"/>
          <w:szCs w:val="24"/>
        </w:rPr>
      </w:pPr>
      <w:r>
        <w:rPr>
          <w:sz w:val="24"/>
          <w:szCs w:val="24"/>
        </w:rPr>
        <w:t xml:space="preserve">вся информация, предоставленная Покупателю, является достоверной, полной </w:t>
        <w:br/>
        <w:t xml:space="preserve">и точной, и Поставщик не скрыл никаких обстоятельств, которые при их обнаружении могли </w:t>
        <w:br/>
        <w:t>бы негативно повлиять на решение Покупателя заключить Договор на указанных в нем условиях.</w:t>
      </w:r>
    </w:p>
    <w:p>
      <w:pPr>
        <w:pStyle w:val="Normal"/>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 xml:space="preserve">обязан </w:t>
        <w:br/>
        <w:t>по письменному требованию Покупателя уплатить последнему штраф в размере 5 (пяти) процентов от Цены Договора, указанной в пункте 2.1 Договора.</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tabs>
          <w:tab w:val="clear" w:pos="708"/>
          <w:tab w:val="left" w:pos="1134" w:leader="none"/>
          <w:tab w:val="left" w:pos="1418" w:leader="none"/>
        </w:tabs>
        <w:ind w:left="0" w:hanging="0"/>
        <w:jc w:val="both"/>
        <w:rPr>
          <w:sz w:val="24"/>
          <w:szCs w:val="24"/>
        </w:rPr>
      </w:pPr>
      <w:r>
        <w:rPr>
          <w:sz w:val="24"/>
          <w:szCs w:val="24"/>
        </w:rPr>
      </w:r>
    </w:p>
    <w:p>
      <w:pPr>
        <w:pStyle w:val="ListParagraph"/>
        <w:widowControl/>
        <w:numPr>
          <w:ilvl w:val="0"/>
          <w:numId w:val="2"/>
        </w:numPr>
        <w:tabs>
          <w:tab w:val="clear" w:pos="708"/>
          <w:tab w:val="left" w:pos="426" w:leader="none"/>
        </w:tabs>
        <w:ind w:left="0" w:hanging="0"/>
        <w:jc w:val="center"/>
        <w:rPr>
          <w:b/>
          <w:sz w:val="24"/>
          <w:szCs w:val="24"/>
        </w:rPr>
      </w:pPr>
      <w:r>
        <w:rPr>
          <w:b/>
          <w:bCs/>
          <w:sz w:val="24"/>
          <w:szCs w:val="24"/>
        </w:rPr>
        <w:t>П</w:t>
      </w:r>
      <w:r>
        <w:rPr>
          <w:b/>
          <w:sz w:val="24"/>
          <w:szCs w:val="24"/>
        </w:rPr>
        <w:t>рекращение (расторжение) Договора</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В случае существенного нарушения Договора Поставщиком Покупатель вправе </w:t>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ListParagraph"/>
        <w:tabs>
          <w:tab w:val="clear" w:pos="708"/>
          <w:tab w:val="left" w:pos="0" w:leader="none"/>
          <w:tab w:val="left" w:pos="1418" w:leader="none"/>
        </w:tabs>
        <w:ind w:left="0" w:firstLine="709"/>
        <w:jc w:val="both"/>
        <w:rPr>
          <w:sz w:val="24"/>
          <w:szCs w:val="24"/>
        </w:rPr>
      </w:pPr>
      <w:r>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Стороны установили, что существенным нарушением Договора Поставщиком является:</w:t>
      </w:r>
    </w:p>
    <w:p>
      <w:pPr>
        <w:pStyle w:val="ListParagraph"/>
        <w:widowControl/>
        <w:numPr>
          <w:ilvl w:val="0"/>
          <w:numId w:val="6"/>
        </w:numPr>
        <w:tabs>
          <w:tab w:val="clear" w:pos="708"/>
          <w:tab w:val="left" w:pos="0" w:leader="none"/>
          <w:tab w:val="left" w:pos="1418" w:leader="none"/>
        </w:tabs>
        <w:ind w:left="0" w:firstLine="709"/>
        <w:jc w:val="both"/>
        <w:rPr>
          <w:sz w:val="24"/>
          <w:szCs w:val="24"/>
        </w:rPr>
      </w:pPr>
      <w:r>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pPr>
        <w:pStyle w:val="ListParagraph"/>
        <w:widowControl/>
        <w:numPr>
          <w:ilvl w:val="0"/>
          <w:numId w:val="6"/>
        </w:numPr>
        <w:tabs>
          <w:tab w:val="clear" w:pos="708"/>
          <w:tab w:val="left" w:pos="0" w:leader="none"/>
          <w:tab w:val="left" w:pos="1418" w:leader="none"/>
        </w:tabs>
        <w:ind w:left="0" w:firstLine="709"/>
        <w:jc w:val="both"/>
        <w:rPr>
          <w:sz w:val="24"/>
          <w:szCs w:val="24"/>
        </w:rPr>
      </w:pPr>
      <w:r>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pPr>
        <w:pStyle w:val="ListParagraph"/>
        <w:widowControl/>
        <w:numPr>
          <w:ilvl w:val="0"/>
          <w:numId w:val="6"/>
        </w:numPr>
        <w:tabs>
          <w:tab w:val="clear" w:pos="708"/>
          <w:tab w:val="left" w:pos="0" w:leader="none"/>
          <w:tab w:val="left" w:pos="1418" w:leader="none"/>
        </w:tabs>
        <w:ind w:left="0" w:firstLine="709"/>
        <w:jc w:val="both"/>
        <w:rPr>
          <w:sz w:val="24"/>
          <w:szCs w:val="24"/>
        </w:rPr>
      </w:pPr>
      <w:r>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pPr>
        <w:pStyle w:val="ListParagraph"/>
        <w:widowControl/>
        <w:numPr>
          <w:ilvl w:val="0"/>
          <w:numId w:val="6"/>
        </w:numPr>
        <w:tabs>
          <w:tab w:val="clear" w:pos="708"/>
          <w:tab w:val="left" w:pos="0" w:leader="none"/>
          <w:tab w:val="left" w:pos="1418" w:leader="none"/>
        </w:tabs>
        <w:ind w:left="0" w:firstLine="709"/>
        <w:jc w:val="both"/>
        <w:rPr>
          <w:sz w:val="24"/>
          <w:szCs w:val="24"/>
        </w:rPr>
      </w:pPr>
      <w:r>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pPr>
        <w:pStyle w:val="ListParagraph"/>
        <w:widowControl/>
        <w:numPr>
          <w:ilvl w:val="0"/>
          <w:numId w:val="6"/>
        </w:numPr>
        <w:tabs>
          <w:tab w:val="clear" w:pos="708"/>
          <w:tab w:val="left" w:pos="0" w:leader="none"/>
          <w:tab w:val="left" w:pos="1418" w:leader="none"/>
        </w:tabs>
        <w:ind w:left="0" w:firstLine="709"/>
        <w:jc w:val="both"/>
        <w:rPr>
          <w:sz w:val="24"/>
          <w:szCs w:val="24"/>
        </w:rPr>
      </w:pPr>
      <w:r>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br/>
        <w:t>об обстоятельствах, указанных в разделе 11 Договора, и имеющих существенное значение для его заключения и исполнения.</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В случае отказа Покупателя от Договора в случаях, предусмотренных пунктами 12.2, 12.3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С даты прекращения (расторжения) Договора Поставщик обязан прекратить поставку Товара.</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При прекращении (расторжении) Договора по основаниям, указанным </w:t>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pPr>
        <w:pStyle w:val="ListParagraph"/>
        <w:widowControl/>
        <w:tabs>
          <w:tab w:val="clear" w:pos="708"/>
          <w:tab w:val="left" w:pos="1134" w:leader="none"/>
        </w:tabs>
        <w:ind w:left="0" w:hanging="0"/>
        <w:jc w:val="both"/>
        <w:rPr>
          <w:sz w:val="24"/>
          <w:szCs w:val="24"/>
        </w:rPr>
      </w:pPr>
      <w:r>
        <w:rPr>
          <w:sz w:val="24"/>
          <w:szCs w:val="24"/>
        </w:rPr>
      </w:r>
    </w:p>
    <w:p>
      <w:pPr>
        <w:pStyle w:val="ListParagraph"/>
        <w:widowControl/>
        <w:numPr>
          <w:ilvl w:val="0"/>
          <w:numId w:val="2"/>
        </w:numPr>
        <w:tabs>
          <w:tab w:val="clear" w:pos="708"/>
          <w:tab w:val="left" w:pos="426" w:leader="none"/>
        </w:tabs>
        <w:ind w:left="0" w:hanging="0"/>
        <w:jc w:val="center"/>
        <w:rPr>
          <w:b/>
          <w:bCs/>
          <w:sz w:val="24"/>
          <w:szCs w:val="24"/>
        </w:rPr>
      </w:pPr>
      <w:r>
        <w:rPr>
          <w:b/>
          <w:bCs/>
          <w:sz w:val="24"/>
          <w:szCs w:val="24"/>
        </w:rPr>
        <w:t>Заключительные положения</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w:t>
      </w:r>
    </w:p>
    <w:p>
      <w:pPr>
        <w:pStyle w:val="Normal"/>
        <w:widowControl/>
        <w:numPr>
          <w:ilvl w:val="1"/>
          <w:numId w:val="2"/>
        </w:numPr>
        <w:tabs>
          <w:tab w:val="clear" w:pos="708"/>
          <w:tab w:val="left" w:pos="142" w:leader="none"/>
          <w:tab w:val="left" w:pos="1418" w:leader="none"/>
        </w:tabs>
        <w:snapToGrid w:val="false"/>
        <w:ind w:left="0" w:firstLine="709"/>
        <w:jc w:val="both"/>
        <w:rPr>
          <w:sz w:val="24"/>
          <w:szCs w:val="24"/>
          <w:highlight w:val="lightGray"/>
          <w:lang w:eastAsia="en-US"/>
        </w:rPr>
      </w:pPr>
      <w:r>
        <w:rPr>
          <w:sz w:val="24"/>
          <w:szCs w:val="24"/>
          <w:highlight w:val="lightGray"/>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tabs>
          <w:tab w:val="clear" w:pos="708"/>
          <w:tab w:val="left" w:pos="142" w:leader="none"/>
        </w:tabs>
        <w:ind w:firstLine="709"/>
        <w:jc w:val="both"/>
        <w:rPr>
          <w:sz w:val="24"/>
          <w:szCs w:val="24"/>
          <w:lang w:eastAsia="en-US"/>
        </w:rPr>
      </w:pPr>
      <w:r>
        <w:rPr>
          <w:sz w:val="24"/>
          <w:szCs w:val="24"/>
          <w:highlight w:val="lightGray"/>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FootnoteReference"/>
          <w:sz w:val="24"/>
          <w:szCs w:val="24"/>
          <w:highlight w:val="lightGray"/>
          <w:lang w:eastAsia="en-US"/>
        </w:rPr>
        <w:footnoteReference w:id="3"/>
      </w:r>
      <w:r>
        <w:rPr>
          <w:sz w:val="24"/>
          <w:szCs w:val="24"/>
          <w:highlight w:val="lightGray"/>
          <w:lang w:eastAsia="en-US"/>
        </w:rPr>
        <w:t>.</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13.7 Договора. </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13.8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widowControl/>
        <w:numPr>
          <w:ilvl w:val="1"/>
          <w:numId w:val="2"/>
        </w:numPr>
        <w:tabs>
          <w:tab w:val="clear" w:pos="708"/>
          <w:tab w:val="left" w:pos="0" w:leader="none"/>
          <w:tab w:val="left" w:pos="1418" w:leader="none"/>
        </w:tabs>
        <w:ind w:left="0" w:firstLine="709"/>
        <w:jc w:val="both"/>
        <w:rPr>
          <w:sz w:val="24"/>
          <w:szCs w:val="24"/>
        </w:rPr>
      </w:pPr>
      <w:bookmarkStart w:id="9" w:name="_Ref361338004"/>
      <w:r>
        <w:rPr>
          <w:sz w:val="24"/>
          <w:szCs w:val="24"/>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13.8 Договора.</w:t>
      </w:r>
      <w:bookmarkEnd w:id="9"/>
      <w:r>
        <w:rPr>
          <w:sz w:val="24"/>
          <w:szCs w:val="24"/>
        </w:rPr>
        <w:t xml:space="preserve"> </w:t>
      </w:r>
    </w:p>
    <w:p>
      <w:pPr>
        <w:pStyle w:val="ListParagraph"/>
        <w:widowControl/>
        <w:numPr>
          <w:ilvl w:val="1"/>
          <w:numId w:val="2"/>
        </w:numPr>
        <w:tabs>
          <w:tab w:val="clear" w:pos="708"/>
          <w:tab w:val="left" w:pos="0" w:leader="none"/>
          <w:tab w:val="left" w:pos="1134" w:leader="none"/>
          <w:tab w:val="left" w:pos="1418" w:leader="none"/>
        </w:tabs>
        <w:ind w:left="0" w:firstLine="709"/>
        <w:jc w:val="both"/>
        <w:rPr>
          <w:bCs/>
          <w:sz w:val="24"/>
          <w:szCs w:val="24"/>
        </w:rPr>
      </w:pPr>
      <w:r>
        <w:rPr>
          <w:sz w:val="24"/>
          <w:szCs w:val="24"/>
        </w:rPr>
        <w:t>Письма, уведомления и / или сообщения направляются Стороне</w:t>
      </w:r>
      <w:r>
        <w:rPr>
          <w:bCs/>
          <w:sz w:val="24"/>
          <w:szCs w:val="24"/>
        </w:rPr>
        <w:t>-</w:t>
      </w:r>
      <w:r>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Pr>
          <w:bCs/>
          <w:sz w:val="24"/>
          <w:szCs w:val="24"/>
        </w:rPr>
        <w:t xml:space="preserve"> будет считаться полученным</w:t>
      </w:r>
      <w:r>
        <w:rPr>
          <w:sz w:val="24"/>
          <w:szCs w:val="24"/>
        </w:rPr>
        <w:t xml:space="preserve">: </w:t>
      </w:r>
    </w:p>
    <w:p>
      <w:pPr>
        <w:pStyle w:val="ListParagraph"/>
        <w:numPr>
          <w:ilvl w:val="2"/>
          <w:numId w:val="2"/>
        </w:numPr>
        <w:ind w:left="0" w:firstLine="709"/>
        <w:jc w:val="both"/>
        <w:rPr>
          <w:sz w:val="24"/>
          <w:szCs w:val="24"/>
        </w:rPr>
      </w:pPr>
      <w:r>
        <w:rPr>
          <w:bCs/>
          <w:sz w:val="24"/>
          <w:szCs w:val="24"/>
        </w:rPr>
        <w:t xml:space="preserve">Заказным почтовым отправлением с уведомлением о вручении – </w:t>
      </w:r>
      <w:r>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numPr>
          <w:ilvl w:val="2"/>
          <w:numId w:val="2"/>
        </w:numPr>
        <w:ind w:left="0" w:firstLine="709"/>
        <w:jc w:val="both"/>
        <w:rPr>
          <w:sz w:val="24"/>
          <w:szCs w:val="24"/>
        </w:rPr>
      </w:pPr>
      <w:r>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sz w:val="24"/>
          <w:szCs w:val="24"/>
        </w:rPr>
        <w:t xml:space="preserve">; </w:t>
      </w:r>
    </w:p>
    <w:p>
      <w:pPr>
        <w:pStyle w:val="ListParagraph"/>
        <w:numPr>
          <w:ilvl w:val="2"/>
          <w:numId w:val="2"/>
        </w:numPr>
        <w:ind w:left="0" w:firstLine="709"/>
        <w:jc w:val="both"/>
        <w:rPr>
          <w:bCs/>
          <w:sz w:val="24"/>
          <w:szCs w:val="24"/>
        </w:rPr>
      </w:pPr>
      <w:r>
        <w:rPr>
          <w:bCs/>
          <w:sz w:val="24"/>
          <w:szCs w:val="24"/>
        </w:rPr>
        <w:t>Посредством электронной почты (</w:t>
      </w:r>
      <w:r>
        <w:rPr>
          <w:bCs/>
          <w:sz w:val="24"/>
          <w:szCs w:val="24"/>
          <w:lang w:val="en-US"/>
        </w:rPr>
        <w:t>e</w:t>
      </w:r>
      <w:r>
        <w:rPr>
          <w:bCs/>
          <w:sz w:val="24"/>
          <w:szCs w:val="24"/>
        </w:rPr>
        <w:t>-</w:t>
      </w:r>
      <w:r>
        <w:rPr>
          <w:bCs/>
          <w:sz w:val="24"/>
          <w:szCs w:val="24"/>
          <w:lang w:val="en-US"/>
        </w:rPr>
        <w:t>mail</w:t>
      </w:r>
      <w:r>
        <w:rPr>
          <w:bCs/>
          <w:sz w:val="24"/>
          <w:szCs w:val="24"/>
        </w:rPr>
        <w:t>) – в дату направления электронного сообщения, зафиксированную на почтовом сервере отправителя.</w:t>
      </w:r>
    </w:p>
    <w:p>
      <w:pPr>
        <w:pStyle w:val="ListParagraph"/>
        <w:tabs>
          <w:tab w:val="clear" w:pos="708"/>
          <w:tab w:val="left" w:pos="0" w:leader="none"/>
          <w:tab w:val="left" w:pos="1418" w:leader="none"/>
          <w:tab w:val="left" w:pos="1701" w:leader="none"/>
        </w:tabs>
        <w:ind w:left="0" w:firstLine="709"/>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13.8.1 – 13.8.2 Договора. </w:t>
      </w:r>
    </w:p>
    <w:p>
      <w:pPr>
        <w:pStyle w:val="Normal"/>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2"/>
        </w:numPr>
        <w:tabs>
          <w:tab w:val="clear" w:pos="708"/>
          <w:tab w:val="left" w:pos="1440" w:leader="none"/>
        </w:tabs>
        <w:ind w:left="540" w:firstLine="180"/>
        <w:jc w:val="both"/>
        <w:rPr>
          <w:sz w:val="24"/>
          <w:szCs w:val="24"/>
        </w:rPr>
      </w:pPr>
      <w:r>
        <w:rPr>
          <w:bCs/>
          <w:sz w:val="24"/>
          <w:szCs w:val="24"/>
        </w:rPr>
        <w:t>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r>
        <w:rPr>
          <w:sz w:val="24"/>
          <w:szCs w:val="24"/>
        </w:rPr>
        <w:t xml:space="preserve">  </w:t>
      </w:r>
    </w:p>
    <w:p>
      <w:pPr>
        <w:pStyle w:val="ListParagraph"/>
        <w:numPr>
          <w:ilvl w:val="1"/>
          <w:numId w:val="2"/>
        </w:numPr>
        <w:ind w:left="0" w:firstLine="709"/>
        <w:jc w:val="both"/>
        <w:rPr>
          <w:sz w:val="24"/>
          <w:szCs w:val="24"/>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widowControl/>
        <w:numPr>
          <w:ilvl w:val="1"/>
          <w:numId w:val="2"/>
        </w:numPr>
        <w:shd w:val="clear" w:color="auto" w:fill="FFFFFF"/>
        <w:tabs>
          <w:tab w:val="clear" w:pos="708"/>
          <w:tab w:val="left" w:pos="0" w:leader="none"/>
          <w:tab w:val="left" w:pos="1418" w:leader="none"/>
          <w:tab w:val="left" w:pos="1851" w:leader="none"/>
        </w:tabs>
        <w:ind w:left="0" w:firstLine="709"/>
        <w:jc w:val="both"/>
        <w:rPr>
          <w:sz w:val="24"/>
          <w:szCs w:val="24"/>
          <w:highlight w:val="lightGray"/>
        </w:rPr>
      </w:pPr>
      <w:r>
        <w:rPr>
          <w:sz w:val="24"/>
          <w:szCs w:val="24"/>
          <w:highlight w:val="lightGray"/>
        </w:rPr>
        <w:t>Договор составлен в 2 (двух) оригинальных экземплярах, имеющих равную юридическую силу, по 1 (одному) для каждой из Сторон</w:t>
      </w:r>
      <w:r>
        <w:rPr>
          <w:rStyle w:val="FootnoteReference"/>
          <w:sz w:val="24"/>
          <w:szCs w:val="24"/>
          <w:highlight w:val="lightGray"/>
        </w:rPr>
        <w:footnoteReference w:id="4"/>
      </w:r>
      <w:r>
        <w:rPr>
          <w:sz w:val="24"/>
          <w:szCs w:val="24"/>
          <w:highlight w:val="lightGray"/>
        </w:rPr>
        <w:t>.</w:t>
      </w:r>
    </w:p>
    <w:p>
      <w:pPr>
        <w:pStyle w:val="ListParagraph"/>
        <w:ind w:left="709" w:hanging="0"/>
        <w:jc w:val="both"/>
        <w:rPr>
          <w:sz w:val="24"/>
          <w:szCs w:val="24"/>
        </w:rPr>
      </w:pPr>
      <w:r>
        <w:rPr>
          <w:sz w:val="24"/>
          <w:szCs w:val="24"/>
        </w:rPr>
      </w:r>
    </w:p>
    <w:p>
      <w:pPr>
        <w:pStyle w:val="Normal"/>
        <w:ind w:firstLine="567"/>
        <w:jc w:val="both"/>
        <w:rPr>
          <w:sz w:val="24"/>
          <w:szCs w:val="24"/>
        </w:rPr>
      </w:pPr>
      <w:r>
        <w:rPr>
          <w:sz w:val="24"/>
          <w:szCs w:val="24"/>
        </w:rPr>
      </w:r>
    </w:p>
    <w:p>
      <w:pPr>
        <w:pStyle w:val="Normal"/>
        <w:widowControl/>
        <w:numPr>
          <w:ilvl w:val="0"/>
          <w:numId w:val="2"/>
        </w:numPr>
        <w:tabs>
          <w:tab w:val="clear" w:pos="708"/>
          <w:tab w:val="left" w:pos="284" w:leader="none"/>
        </w:tabs>
        <w:spacing w:before="0" w:after="0"/>
        <w:ind w:left="0" w:hanging="360"/>
        <w:contextualSpacing/>
        <w:jc w:val="center"/>
        <w:rPr>
          <w:b/>
          <w:bCs/>
          <w:sz w:val="24"/>
          <w:szCs w:val="24"/>
        </w:rPr>
      </w:pPr>
      <w:r>
        <w:rPr>
          <w:b/>
          <w:bCs/>
          <w:sz w:val="24"/>
          <w:szCs w:val="24"/>
        </w:rPr>
        <w:t xml:space="preserve">Список приложений </w:t>
      </w:r>
    </w:p>
    <w:p>
      <w:pPr>
        <w:pStyle w:val="Normal"/>
        <w:widowControl/>
        <w:tabs>
          <w:tab w:val="clear" w:pos="708"/>
          <w:tab w:val="left" w:pos="0" w:leader="none"/>
        </w:tabs>
        <w:ind w:firstLine="709"/>
        <w:jc w:val="both"/>
        <w:rPr>
          <w:rFonts w:eastAsia="Calibri"/>
          <w:sz w:val="24"/>
          <w:szCs w:val="24"/>
          <w:lang w:eastAsia="en-US"/>
        </w:rPr>
      </w:pPr>
      <w:bookmarkStart w:id="10" w:name="sub_1"/>
      <w:r>
        <w:rPr>
          <w:rFonts w:eastAsia="Calibri"/>
          <w:sz w:val="24"/>
          <w:szCs w:val="24"/>
          <w:lang w:eastAsia="en-US"/>
        </w:rPr>
        <w:t>Приложение № 1 – Спецификация.</w:t>
      </w:r>
    </w:p>
    <w:p>
      <w:pPr>
        <w:pStyle w:val="Normal"/>
        <w:widowControl/>
        <w:tabs>
          <w:tab w:val="clear" w:pos="708"/>
          <w:tab w:val="left" w:pos="0" w:leader="none"/>
          <w:tab w:val="left" w:pos="2694" w:leader="none"/>
        </w:tabs>
        <w:ind w:firstLine="709"/>
        <w:jc w:val="both"/>
        <w:rPr>
          <w:rFonts w:eastAsia="Calibri"/>
          <w:sz w:val="24"/>
          <w:szCs w:val="24"/>
          <w:lang w:eastAsia="en-US"/>
        </w:rPr>
      </w:pPr>
      <w:r>
        <w:rPr>
          <w:rFonts w:eastAsia="Calibri"/>
          <w:sz w:val="24"/>
          <w:szCs w:val="24"/>
          <w:lang w:eastAsia="en-US"/>
        </w:rPr>
        <w:t xml:space="preserve">Приложение № 2 – </w:t>
      </w:r>
      <w:r>
        <w:rPr>
          <w:sz w:val="24"/>
          <w:szCs w:val="24"/>
          <w:lang w:eastAsia="x-none"/>
        </w:rPr>
        <w:t>Технические требования.</w:t>
      </w:r>
      <w:bookmarkEnd w:id="10"/>
    </w:p>
    <w:p>
      <w:pPr>
        <w:pStyle w:val="Normal"/>
        <w:widowControl/>
        <w:tabs>
          <w:tab w:val="clear" w:pos="708"/>
          <w:tab w:val="left" w:pos="0" w:leader="none"/>
          <w:tab w:val="left" w:pos="2694" w:leader="none"/>
        </w:tabs>
        <w:ind w:firstLine="709"/>
        <w:jc w:val="both"/>
        <w:rPr>
          <w:bCs/>
          <w:sz w:val="24"/>
          <w:szCs w:val="24"/>
        </w:rPr>
      </w:pPr>
      <w:r>
        <w:rPr>
          <w:bCs/>
          <w:sz w:val="24"/>
          <w:szCs w:val="24"/>
        </w:rPr>
        <w:t xml:space="preserve">Приложение № 3 </w:t>
      </w:r>
      <w:r>
        <w:rPr>
          <w:rFonts w:eastAsia="Calibri"/>
          <w:sz w:val="24"/>
          <w:szCs w:val="24"/>
          <w:lang w:eastAsia="en-US"/>
        </w:rPr>
        <w:t>–</w:t>
      </w:r>
      <w:r>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pPr>
        <w:pStyle w:val="Normal"/>
        <w:widowControl/>
        <w:tabs>
          <w:tab w:val="clear" w:pos="708"/>
          <w:tab w:val="left" w:pos="0" w:leader="none"/>
          <w:tab w:val="left" w:pos="2694" w:leader="none"/>
        </w:tabs>
        <w:ind w:firstLine="709"/>
        <w:jc w:val="both"/>
        <w:rPr>
          <w:bCs/>
          <w:sz w:val="24"/>
          <w:szCs w:val="24"/>
        </w:rPr>
      </w:pPr>
      <w:r>
        <w:rPr>
          <w:bCs/>
          <w:sz w:val="24"/>
          <w:szCs w:val="24"/>
        </w:rPr>
        <w:t>Приложение № 4 – Календарный график поставки Товара.</w:t>
      </w:r>
    </w:p>
    <w:p>
      <w:pPr>
        <w:pStyle w:val="Normal"/>
        <w:ind w:firstLine="709"/>
        <w:jc w:val="both"/>
        <w:rPr>
          <w:sz w:val="24"/>
          <w:szCs w:val="24"/>
        </w:rPr>
      </w:pPr>
      <w:r>
        <w:rPr>
          <w:sz w:val="24"/>
          <w:szCs w:val="24"/>
        </w:rPr>
      </w:r>
    </w:p>
    <w:p>
      <w:pPr>
        <w:pStyle w:val="ListParagraph"/>
        <w:widowControl/>
        <w:numPr>
          <w:ilvl w:val="0"/>
          <w:numId w:val="2"/>
        </w:numPr>
        <w:tabs>
          <w:tab w:val="clear" w:pos="708"/>
          <w:tab w:val="left" w:pos="426" w:leader="none"/>
        </w:tabs>
        <w:ind w:left="0" w:hanging="0"/>
        <w:jc w:val="center"/>
        <w:rPr>
          <w:b/>
          <w:bCs/>
          <w:sz w:val="24"/>
          <w:szCs w:val="24"/>
        </w:rPr>
      </w:pPr>
      <w:r>
        <w:rPr>
          <w:b/>
          <w:bCs/>
          <w:sz w:val="24"/>
          <w:szCs w:val="24"/>
        </w:rPr>
        <w:t>Адреса и платежные реквизиты Сторон</w:t>
      </w:r>
    </w:p>
    <w:p>
      <w:pPr>
        <w:pStyle w:val="ListParagraph"/>
        <w:widowControl/>
        <w:tabs>
          <w:tab w:val="clear" w:pos="708"/>
          <w:tab w:val="left" w:pos="426" w:leader="none"/>
        </w:tabs>
        <w:ind w:left="0" w:hanging="0"/>
        <w:rPr>
          <w:b/>
          <w:bCs/>
          <w:sz w:val="24"/>
          <w:szCs w:val="24"/>
        </w:rPr>
      </w:pPr>
      <w:r>
        <w:rPr>
          <w:b/>
          <w:bCs/>
          <w:sz w:val="24"/>
          <w:szCs w:val="24"/>
        </w:rPr>
      </w:r>
    </w:p>
    <w:tbl>
      <w:tblPr>
        <w:tblW w:w="9890" w:type="dxa"/>
        <w:jc w:val="left"/>
        <w:tblInd w:w="0" w:type="dxa"/>
        <w:tblLayout w:type="fixed"/>
        <w:tblCellMar>
          <w:top w:w="0" w:type="dxa"/>
          <w:left w:w="108" w:type="dxa"/>
          <w:bottom w:w="0" w:type="dxa"/>
          <w:right w:w="108" w:type="dxa"/>
        </w:tblCellMar>
        <w:tblLook w:noVBand="0" w:val="01e0" w:noHBand="0" w:lastColumn="1" w:firstColumn="1" w:lastRow="1" w:firstRow="1"/>
      </w:tblPr>
      <w:tblGrid>
        <w:gridCol w:w="4928"/>
        <w:gridCol w:w="4961"/>
      </w:tblGrid>
      <w:tr>
        <w:trPr/>
        <w:tc>
          <w:tcPr>
            <w:tcW w:w="4928" w:type="dxa"/>
            <w:tcBorders/>
          </w:tcPr>
          <w:p>
            <w:pPr>
              <w:pStyle w:val="Normal"/>
              <w:widowControl w:val="false"/>
              <w:rPr>
                <w:sz w:val="24"/>
                <w:szCs w:val="24"/>
              </w:rPr>
            </w:pPr>
            <w:r>
              <w:rPr>
                <w:sz w:val="24"/>
                <w:szCs w:val="24"/>
              </w:rPr>
              <w:t>ПОКУПАТЕЛЬ:</w:t>
            </w:r>
          </w:p>
        </w:tc>
        <w:tc>
          <w:tcPr>
            <w:tcW w:w="4961" w:type="dxa"/>
            <w:tcBorders/>
          </w:tcPr>
          <w:p>
            <w:pPr>
              <w:pStyle w:val="Normal"/>
              <w:widowControl w:val="false"/>
              <w:rPr>
                <w:sz w:val="24"/>
                <w:szCs w:val="24"/>
              </w:rPr>
            </w:pPr>
            <w:r>
              <w:rPr>
                <w:sz w:val="24"/>
                <w:szCs w:val="24"/>
              </w:rPr>
              <w:t>ПОСТАВЩИК:</w:t>
            </w:r>
          </w:p>
        </w:tc>
      </w:tr>
      <w:tr>
        <w:trPr/>
        <w:tc>
          <w:tcPr>
            <w:tcW w:w="4928" w:type="dxa"/>
            <w:tcBorders/>
            <w:shd w:color="auto" w:fill="auto" w:val="clear"/>
          </w:tcPr>
          <w:p>
            <w:pPr>
              <w:pStyle w:val="Normal"/>
              <w:widowControl w:val="false"/>
              <w:rPr>
                <w:sz w:val="24"/>
                <w:szCs w:val="24"/>
              </w:rPr>
            </w:pPr>
            <w:r>
              <w:rPr>
                <w:sz w:val="24"/>
                <w:szCs w:val="24"/>
              </w:rPr>
            </w:r>
          </w:p>
          <w:p>
            <w:pPr>
              <w:pStyle w:val="Normal"/>
              <w:widowControl w:val="false"/>
              <w:rPr>
                <w:b/>
                <w:sz w:val="24"/>
                <w:szCs w:val="24"/>
              </w:rPr>
            </w:pPr>
            <w:r>
              <w:rPr>
                <w:b/>
                <w:sz w:val="24"/>
                <w:szCs w:val="24"/>
              </w:rPr>
              <w:t>Публичное акционерное общество</w:t>
            </w:r>
          </w:p>
          <w:p>
            <w:pPr>
              <w:pStyle w:val="Normal"/>
              <w:widowControl w:val="false"/>
              <w:rPr>
                <w:b/>
                <w:sz w:val="24"/>
                <w:szCs w:val="24"/>
              </w:rPr>
            </w:pPr>
            <w:r>
              <w:rPr>
                <w:b/>
                <w:sz w:val="24"/>
                <w:szCs w:val="24"/>
              </w:rPr>
              <w:t>«Федеральная гидрогенерирующая компания - РусГидро» (ПАО «РусГидро»)</w:t>
            </w:r>
          </w:p>
          <w:p>
            <w:pPr>
              <w:pStyle w:val="Normal"/>
              <w:widowControl w:val="false"/>
              <w:rPr>
                <w:sz w:val="24"/>
                <w:szCs w:val="24"/>
              </w:rPr>
            </w:pPr>
            <w:r>
              <w:rPr>
                <w:sz w:val="24"/>
                <w:szCs w:val="24"/>
              </w:rPr>
            </w:r>
          </w:p>
          <w:p>
            <w:pPr>
              <w:pStyle w:val="Normal"/>
              <w:widowControl w:val="false"/>
              <w:rPr>
                <w:sz w:val="24"/>
                <w:szCs w:val="24"/>
              </w:rPr>
            </w:pPr>
            <w:r>
              <w:rPr>
                <w:sz w:val="24"/>
                <w:szCs w:val="24"/>
              </w:rPr>
              <w:t xml:space="preserve">Место нахождения: </w:t>
            </w:r>
          </w:p>
          <w:p>
            <w:pPr>
              <w:pStyle w:val="Normal"/>
              <w:widowControl w:val="false"/>
              <w:rPr>
                <w:sz w:val="24"/>
                <w:szCs w:val="24"/>
              </w:rPr>
            </w:pPr>
            <w:r>
              <w:rPr>
                <w:sz w:val="24"/>
                <w:szCs w:val="24"/>
              </w:rPr>
              <w:t xml:space="preserve">660049, Красноярский край, г.о. город Красноярск, г. Красноярск, ул. Перенсона, зд. 2А, помещ. 1 </w:t>
            </w:r>
          </w:p>
          <w:p>
            <w:pPr>
              <w:pStyle w:val="Normal"/>
              <w:widowControl w:val="false"/>
              <w:rPr>
                <w:sz w:val="24"/>
                <w:szCs w:val="24"/>
              </w:rPr>
            </w:pPr>
            <w:r>
              <w:rPr>
                <w:sz w:val="24"/>
                <w:szCs w:val="24"/>
              </w:rPr>
              <w:t xml:space="preserve">Почтовый адрес: </w:t>
            </w:r>
          </w:p>
          <w:p>
            <w:pPr>
              <w:pStyle w:val="Normal"/>
              <w:widowControl w:val="false"/>
              <w:rPr>
                <w:sz w:val="24"/>
              </w:rPr>
            </w:pPr>
            <w:r>
              <w:rPr>
                <w:sz w:val="24"/>
                <w:szCs w:val="24"/>
              </w:rPr>
              <w:t xml:space="preserve">Филиал ПАО «РусГидро» - «Воткинская ГЭС», </w:t>
            </w:r>
            <w:r>
              <w:rPr>
                <w:sz w:val="24"/>
              </w:rPr>
              <w:t xml:space="preserve">617761, Пермский край,  </w:t>
            </w:r>
          </w:p>
          <w:p>
            <w:pPr>
              <w:pStyle w:val="BodyTextIndent3"/>
              <w:widowControl w:val="false"/>
              <w:ind w:left="-15" w:hanging="0"/>
              <w:rPr>
                <w:sz w:val="24"/>
              </w:rPr>
            </w:pPr>
            <w:r>
              <w:rPr>
                <w:sz w:val="24"/>
              </w:rPr>
              <w:t>г.о. Чайковский, г. Чайковский, тер. Воткинской ГЭС, д.1/2</w:t>
            </w:r>
          </w:p>
          <w:p>
            <w:pPr>
              <w:pStyle w:val="Normal"/>
              <w:widowControl w:val="false"/>
              <w:rPr>
                <w:sz w:val="24"/>
                <w:szCs w:val="24"/>
              </w:rPr>
            </w:pPr>
            <w:r>
              <w:rPr>
                <w:sz w:val="24"/>
                <w:szCs w:val="24"/>
              </w:rPr>
              <w:t xml:space="preserve">ОГРН 1042401810494, </w:t>
            </w:r>
          </w:p>
          <w:p>
            <w:pPr>
              <w:pStyle w:val="Normal"/>
              <w:widowControl w:val="false"/>
              <w:rPr>
                <w:sz w:val="24"/>
                <w:szCs w:val="24"/>
              </w:rPr>
            </w:pPr>
            <w:r>
              <w:rPr>
                <w:sz w:val="24"/>
                <w:szCs w:val="24"/>
              </w:rPr>
              <w:t>ИНН 2460066195 / КПП 592002001</w:t>
            </w:r>
          </w:p>
          <w:p>
            <w:pPr>
              <w:pStyle w:val="Normal"/>
              <w:widowControl w:val="false"/>
              <w:rPr>
                <w:sz w:val="24"/>
                <w:szCs w:val="24"/>
              </w:rPr>
            </w:pPr>
            <w:r>
              <w:rPr>
                <w:sz w:val="24"/>
                <w:szCs w:val="24"/>
              </w:rPr>
              <w:t xml:space="preserve">р/с 40702810700000059925 </w:t>
            </w:r>
          </w:p>
          <w:p>
            <w:pPr>
              <w:pStyle w:val="Normal"/>
              <w:widowControl w:val="false"/>
              <w:rPr>
                <w:sz w:val="24"/>
                <w:szCs w:val="24"/>
              </w:rPr>
            </w:pPr>
            <w:r>
              <w:rPr>
                <w:sz w:val="24"/>
                <w:szCs w:val="24"/>
              </w:rPr>
              <w:t xml:space="preserve">Банк ГПБ (АО) г. Москва </w:t>
            </w:r>
          </w:p>
          <w:p>
            <w:pPr>
              <w:pStyle w:val="Normal"/>
              <w:widowControl w:val="false"/>
              <w:rPr>
                <w:sz w:val="24"/>
                <w:szCs w:val="24"/>
              </w:rPr>
            </w:pPr>
            <w:r>
              <w:rPr>
                <w:sz w:val="24"/>
                <w:szCs w:val="24"/>
              </w:rPr>
              <w:t>к/с 30101810200000000823</w:t>
            </w:r>
          </w:p>
          <w:p>
            <w:pPr>
              <w:pStyle w:val="Normal"/>
              <w:widowControl w:val="false"/>
              <w:rPr>
                <w:sz w:val="24"/>
                <w:szCs w:val="24"/>
              </w:rPr>
            </w:pPr>
            <w:r>
              <w:rPr>
                <w:sz w:val="24"/>
                <w:szCs w:val="24"/>
              </w:rPr>
              <w:t xml:space="preserve">БИК 044525823 </w:t>
            </w:r>
          </w:p>
          <w:p>
            <w:pPr>
              <w:pStyle w:val="Normal"/>
              <w:widowControl w:val="false"/>
              <w:rPr>
                <w:sz w:val="24"/>
                <w:szCs w:val="24"/>
              </w:rPr>
            </w:pPr>
            <w:r>
              <w:rPr>
                <w:sz w:val="24"/>
                <w:szCs w:val="24"/>
              </w:rPr>
              <w:t>Тел. 8(34-241) 7-04-04, 7-03-31</w:t>
            </w:r>
          </w:p>
          <w:p>
            <w:pPr>
              <w:pStyle w:val="Normal"/>
              <w:widowControl w:val="false"/>
              <w:rPr>
                <w:sz w:val="24"/>
                <w:szCs w:val="24"/>
              </w:rPr>
            </w:pPr>
            <w:r>
              <w:rPr>
                <w:sz w:val="24"/>
                <w:szCs w:val="24"/>
              </w:rPr>
              <w:t>Факс 8(34-241) 7-03-55</w:t>
            </w:r>
          </w:p>
          <w:p>
            <w:pPr>
              <w:pStyle w:val="Normal"/>
              <w:widowControl w:val="false"/>
              <w:rPr>
                <w:sz w:val="24"/>
                <w:szCs w:val="24"/>
              </w:rPr>
            </w:pPr>
            <w:r>
              <w:rPr>
                <w:sz w:val="24"/>
                <w:szCs w:val="24"/>
              </w:rPr>
            </w:r>
          </w:p>
        </w:tc>
        <w:tc>
          <w:tcPr>
            <w:tcW w:w="4961" w:type="dxa"/>
            <w:tcBorders/>
            <w:shd w:color="auto" w:fill="auto" w:val="clear"/>
          </w:tcPr>
          <w:p>
            <w:pPr>
              <w:pStyle w:val="Normal"/>
              <w:widowControl w:val="false"/>
              <w:rPr>
                <w:sz w:val="24"/>
                <w:szCs w:val="24"/>
              </w:rPr>
            </w:pPr>
            <w:r>
              <w:rPr>
                <w:sz w:val="24"/>
                <w:szCs w:val="24"/>
              </w:rPr>
            </w:r>
          </w:p>
        </w:tc>
      </w:tr>
      <w:tr>
        <w:trPr/>
        <w:tc>
          <w:tcPr>
            <w:tcW w:w="4928" w:type="dxa"/>
            <w:tcBorders/>
          </w:tcPr>
          <w:p>
            <w:pPr>
              <w:pStyle w:val="Normal"/>
              <w:widowControl w:val="false"/>
              <w:rPr>
                <w:sz w:val="24"/>
                <w:szCs w:val="24"/>
              </w:rPr>
            </w:pPr>
            <w:r>
              <w:rPr>
                <w:sz w:val="24"/>
                <w:szCs w:val="24"/>
              </w:rPr>
              <w:t xml:space="preserve">_______________ / А.Г. Бяков </w:t>
            </w:r>
          </w:p>
          <w:p>
            <w:pPr>
              <w:pStyle w:val="Normal"/>
              <w:widowControl w:val="false"/>
              <w:rPr>
                <w:sz w:val="24"/>
                <w:szCs w:val="24"/>
              </w:rPr>
            </w:pPr>
            <w:r>
              <w:rPr>
                <w:sz w:val="24"/>
                <w:szCs w:val="24"/>
              </w:rPr>
            </w:r>
          </w:p>
        </w:tc>
        <w:tc>
          <w:tcPr>
            <w:tcW w:w="4961" w:type="dxa"/>
            <w:tcBorders/>
          </w:tcPr>
          <w:p>
            <w:pPr>
              <w:pStyle w:val="Normal"/>
              <w:widowControl w:val="false"/>
              <w:rPr>
                <w:sz w:val="24"/>
                <w:szCs w:val="24"/>
              </w:rPr>
            </w:pPr>
            <w:r>
              <w:rPr>
                <w:sz w:val="24"/>
                <w:szCs w:val="24"/>
              </w:rPr>
              <w:t xml:space="preserve">_______________ / </w:t>
            </w:r>
            <w:r>
              <w:rPr>
                <w:sz w:val="24"/>
                <w:szCs w:val="24"/>
                <w:lang w:val="en-US"/>
              </w:rPr>
              <w:t>_______________</w:t>
            </w:r>
            <w:r>
              <w:rPr>
                <w:sz w:val="24"/>
                <w:szCs w:val="24"/>
              </w:rPr>
              <w:t xml:space="preserve"> </w:t>
            </w:r>
          </w:p>
        </w:tc>
      </w:tr>
    </w:tbl>
    <w:p>
      <w:pPr>
        <w:sectPr>
          <w:headerReference w:type="default" r:id="rId5"/>
          <w:headerReference w:type="first" r:id="rId6"/>
          <w:footerReference w:type="default" r:id="rId7"/>
          <w:footnotePr>
            <w:numFmt w:val="decimal"/>
          </w:footnotePr>
          <w:type w:val="nextPage"/>
          <w:pgSz w:w="11906" w:h="16838"/>
          <w:pgMar w:left="1418" w:right="851" w:gutter="0" w:header="709" w:top="1134" w:footer="709" w:bottom="1134"/>
          <w:pgNumType w:fmt="decimal"/>
          <w:formProt w:val="false"/>
          <w:titlePg/>
          <w:textDirection w:val="lrTb"/>
          <w:docGrid w:type="default" w:linePitch="360" w:charSpace="0"/>
        </w:sectPr>
      </w:pPr>
    </w:p>
    <w:p>
      <w:pPr>
        <w:sectPr>
          <w:headerReference w:type="default" r:id="rId8"/>
          <w:headerReference w:type="first" r:id="rId9"/>
          <w:footerReference w:type="default" r:id="rId10"/>
          <w:footerReference w:type="first" r:id="rId11"/>
          <w:footnotePr>
            <w:numFmt w:val="decimal"/>
          </w:footnotePr>
          <w:type w:val="nextPage"/>
          <w:pgSz w:orient="landscape" w:w="16838" w:h="11906"/>
          <w:pgMar w:left="1138" w:right="1138" w:gutter="0" w:header="706" w:top="1411" w:footer="706" w:bottom="850"/>
          <w:pgNumType w:fmt="decimal"/>
          <w:formProt w:val="false"/>
          <w:textDirection w:val="lrTb"/>
          <w:docGrid w:type="default" w:linePitch="360" w:charSpace="0"/>
        </w:sectPr>
        <w:pStyle w:val="Normal"/>
        <w:ind w:left="5103" w:hanging="0"/>
        <w:jc w:val="right"/>
        <w:rPr>
          <w:sz w:val="22"/>
          <w:szCs w:val="22"/>
        </w:rPr>
      </w:pPr>
      <w:r>
        <w:rPr>
          <w:sz w:val="22"/>
          <w:szCs w:val="22"/>
        </w:rPr>
        <w:t>Приложение № 1к Договору поставки</w:t>
      </w:r>
    </w:p>
    <w:p>
      <w:pPr>
        <w:pStyle w:val="Normal"/>
        <w:ind w:left="5103" w:hanging="0"/>
        <w:jc w:val="right"/>
        <w:rPr>
          <w:sz w:val="22"/>
          <w:szCs w:val="22"/>
        </w:rPr>
      </w:pPr>
      <w:r>
        <w:rPr>
          <w:sz w:val="22"/>
          <w:szCs w:val="22"/>
        </w:rPr>
        <w:t>от «____» ________ 2026 г. № ____________</w:t>
      </w:r>
    </w:p>
    <w:p>
      <w:pPr>
        <w:pStyle w:val="Normal"/>
        <w:widowControl/>
        <w:jc w:val="right"/>
        <w:rPr>
          <w:rFonts w:eastAsia="Calibri"/>
          <w:b/>
          <w:sz w:val="24"/>
          <w:szCs w:val="24"/>
          <w:lang w:eastAsia="en-US"/>
        </w:rPr>
      </w:pPr>
      <w:r>
        <w:rPr>
          <w:rFonts w:eastAsia="Calibri"/>
          <w:b/>
          <w:sz w:val="24"/>
          <w:szCs w:val="24"/>
          <w:lang w:eastAsia="en-US"/>
        </w:rPr>
      </w:r>
    </w:p>
    <w:p>
      <w:pPr>
        <w:pStyle w:val="Normal"/>
        <w:jc w:val="center"/>
        <w:rPr>
          <w:b/>
          <w:sz w:val="24"/>
          <w:szCs w:val="24"/>
        </w:rPr>
      </w:pPr>
      <w:r>
        <w:rPr>
          <w:b/>
          <w:sz w:val="24"/>
          <w:szCs w:val="24"/>
        </w:rPr>
      </w:r>
    </w:p>
    <w:p>
      <w:pPr>
        <w:pStyle w:val="Normal"/>
        <w:jc w:val="center"/>
        <w:rPr>
          <w:b/>
          <w:sz w:val="24"/>
          <w:szCs w:val="24"/>
        </w:rPr>
      </w:pPr>
      <w:r>
        <w:rPr>
          <w:b/>
          <w:sz w:val="24"/>
          <w:szCs w:val="24"/>
        </w:rPr>
        <w:t xml:space="preserve">СПЕЦИФИКАЦИЯ </w:t>
      </w:r>
    </w:p>
    <w:p>
      <w:pPr>
        <w:pStyle w:val="Normal"/>
        <w:jc w:val="center"/>
        <w:rPr>
          <w:b/>
          <w:sz w:val="24"/>
          <w:szCs w:val="24"/>
        </w:rPr>
      </w:pPr>
      <w:r>
        <w:rPr>
          <w:b/>
          <w:sz w:val="24"/>
          <w:szCs w:val="24"/>
        </w:rPr>
      </w:r>
    </w:p>
    <w:tbl>
      <w:tblPr>
        <w:tblW w:w="5000" w:type="pct"/>
        <w:jc w:val="left"/>
        <w:tblInd w:w="-714" w:type="dxa"/>
        <w:tblLayout w:type="fixed"/>
        <w:tblCellMar>
          <w:top w:w="0" w:type="dxa"/>
          <w:left w:w="108" w:type="dxa"/>
          <w:bottom w:w="0" w:type="dxa"/>
          <w:right w:w="108" w:type="dxa"/>
        </w:tblCellMar>
        <w:tblLook w:noVBand="1" w:val="04a0" w:noHBand="0" w:lastColumn="0" w:firstColumn="1" w:lastRow="0" w:firstRow="1"/>
      </w:tblPr>
      <w:tblGrid>
        <w:gridCol w:w="202"/>
        <w:gridCol w:w="1020"/>
        <w:gridCol w:w="995"/>
        <w:gridCol w:w="681"/>
        <w:gridCol w:w="548"/>
        <w:gridCol w:w="577"/>
        <w:gridCol w:w="539"/>
        <w:gridCol w:w="282"/>
        <w:gridCol w:w="551"/>
        <w:gridCol w:w="366"/>
        <w:gridCol w:w="582"/>
        <w:gridCol w:w="682"/>
        <w:gridCol w:w="733"/>
        <w:gridCol w:w="887"/>
        <w:gridCol w:w="7"/>
        <w:gridCol w:w="828"/>
        <w:gridCol w:w="154"/>
      </w:tblGrid>
      <w:tr>
        <w:trPr>
          <w:tblHeader w:val="true"/>
          <w:trHeight w:val="1999" w:hRule="atLeast"/>
        </w:trPr>
        <w:tc>
          <w:tcPr>
            <w:tcW w:w="20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 xml:space="preserve">№ </w:t>
            </w:r>
            <w:r>
              <w:rPr>
                <w:bCs/>
              </w:rPr>
              <w:t>поз.</w:t>
            </w:r>
          </w:p>
        </w:tc>
        <w:tc>
          <w:tcPr>
            <w:tcW w:w="102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Наименование Товара</w:t>
            </w:r>
          </w:p>
        </w:tc>
        <w:tc>
          <w:tcPr>
            <w:tcW w:w="99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Артикул, тип, марка</w:t>
            </w:r>
          </w:p>
        </w:tc>
        <w:tc>
          <w:tcPr>
            <w:tcW w:w="68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Производитель Товара</w:t>
            </w:r>
          </w:p>
        </w:tc>
        <w:tc>
          <w:tcPr>
            <w:tcW w:w="54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Страна происхождения Товара</w:t>
            </w:r>
          </w:p>
        </w:tc>
        <w:tc>
          <w:tcPr>
            <w:tcW w:w="5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t>Страна регистрации производителя Товара</w:t>
            </w:r>
          </w:p>
        </w:tc>
        <w:tc>
          <w:tcPr>
            <w:tcW w:w="539" w:type="dxa"/>
            <w:tcBorders>
              <w:top w:val="single" w:sz="4" w:space="0" w:color="000000"/>
              <w:left w:val="single" w:sz="4" w:space="0" w:color="000000"/>
              <w:bottom w:val="single" w:sz="4" w:space="0" w:color="000000"/>
              <w:right w:val="single" w:sz="4" w:space="0" w:color="000000"/>
            </w:tcBorders>
          </w:tcPr>
          <w:p>
            <w:pPr>
              <w:pStyle w:val="Normal"/>
              <w:widowControl w:val="false"/>
              <w:ind w:left="-104" w:right="-105" w:hanging="0"/>
              <w:jc w:val="center"/>
              <w:rPr>
                <w:bCs/>
              </w:rPr>
            </w:pPr>
            <w:r>
              <w:rPr>
                <w:bCs/>
              </w:rPr>
              <w:t>Код ОКПД 2 (с наименованием)</w:t>
            </w:r>
          </w:p>
        </w:tc>
        <w:tc>
          <w:tcPr>
            <w:tcW w:w="2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Ед. изм.</w:t>
            </w:r>
          </w:p>
        </w:tc>
        <w:tc>
          <w:tcPr>
            <w:tcW w:w="55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Порядковый номер(а) реестровой(ых) записи(ей)</w:t>
            </w:r>
          </w:p>
        </w:tc>
        <w:tc>
          <w:tcPr>
            <w:tcW w:w="36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Количество</w:t>
            </w:r>
          </w:p>
        </w:tc>
        <w:tc>
          <w:tcPr>
            <w:tcW w:w="58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51" w:leader="none"/>
              </w:tabs>
              <w:ind w:left="-69" w:hanging="0"/>
              <w:jc w:val="center"/>
              <w:rPr>
                <w:bCs/>
              </w:rPr>
            </w:pPr>
            <w:r>
              <w:rPr>
                <w:bCs/>
              </w:rPr>
              <w:t>Цена за единицу, руб. без НДС</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Сумма, руб. без НДС</w:t>
            </w:r>
          </w:p>
        </w:tc>
        <w:tc>
          <w:tcPr>
            <w:tcW w:w="73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НДС</w:t>
            </w:r>
          </w:p>
          <w:p>
            <w:pPr>
              <w:pStyle w:val="Normal"/>
              <w:widowControl w:val="false"/>
              <w:jc w:val="center"/>
              <w:rPr>
                <w:bCs/>
              </w:rPr>
            </w:pPr>
            <w:r>
              <w:rPr>
                <w:bCs/>
              </w:rPr>
              <w:t>(22%) руб.</w:t>
            </w:r>
          </w:p>
        </w:tc>
        <w:tc>
          <w:tcPr>
            <w:tcW w:w="88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Стоимость, руб., с НДС</w:t>
            </w:r>
          </w:p>
        </w:tc>
        <w:tc>
          <w:tcPr>
            <w:tcW w:w="83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Перечень сопроводительных документов (в том числе подтверждающих качество Товара)</w:t>
            </w:r>
          </w:p>
        </w:tc>
        <w:tc>
          <w:tcPr>
            <w:tcW w:w="154" w:type="dxa"/>
            <w:tcBorders/>
          </w:tcPr>
          <w:p>
            <w:pPr>
              <w:pStyle w:val="Normal"/>
              <w:widowControl w:val="false"/>
              <w:rPr/>
            </w:pPr>
            <w:r>
              <w:rPr/>
            </w:r>
          </w:p>
        </w:tc>
      </w:tr>
      <w:tr>
        <w:trPr>
          <w:trHeight w:val="190" w:hRule="atLeast"/>
        </w:trPr>
        <w:tc>
          <w:tcPr>
            <w:tcW w:w="2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t>1</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rPr/>
            </w:pPr>
            <w:r>
              <w:rPr/>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6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75" w:hanging="0"/>
              <w:jc w:val="center"/>
              <w:rPr/>
            </w:pPr>
            <w:r>
              <w:rPr/>
            </w:r>
          </w:p>
        </w:tc>
        <w:tc>
          <w:tcPr>
            <w:tcW w:w="5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highlight w:val="yellow"/>
              </w:rPr>
            </w:pPr>
            <w:r>
              <w:rPr>
                <w:highlight w:val="yellow"/>
              </w:rPr>
            </w:r>
          </w:p>
        </w:tc>
        <w:tc>
          <w:tcPr>
            <w:tcW w:w="2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64" w:right="-150" w:hanging="0"/>
              <w:jc w:val="center"/>
              <w:rPr/>
            </w:pPr>
            <w:r>
              <w:rPr/>
            </w:r>
          </w:p>
        </w:tc>
        <w:tc>
          <w:tcPr>
            <w:tcW w:w="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3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6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7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87" w:type="dxa"/>
            <w:tcBorders>
              <w:top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3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4" w:hanging="0"/>
              <w:jc w:val="center"/>
              <w:rPr/>
            </w:pPr>
            <w:r>
              <w:rPr/>
            </w:r>
          </w:p>
        </w:tc>
        <w:tc>
          <w:tcPr>
            <w:tcW w:w="154" w:type="dxa"/>
            <w:tcBorders/>
          </w:tcPr>
          <w:p>
            <w:pPr>
              <w:pStyle w:val="Normal"/>
              <w:widowControl w:val="false"/>
              <w:rPr/>
            </w:pPr>
            <w:r>
              <w:rPr/>
            </w:r>
          </w:p>
        </w:tc>
      </w:tr>
      <w:tr>
        <w:trPr>
          <w:trHeight w:val="262" w:hRule="atLeast"/>
        </w:trPr>
        <w:tc>
          <w:tcPr>
            <w:tcW w:w="2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t>2</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rPr/>
            </w:pPr>
            <w:r>
              <w:rPr/>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90" w:hanging="0"/>
              <w:jc w:val="center"/>
              <w:rPr/>
            </w:pPr>
            <w:r>
              <w:rPr/>
            </w:r>
          </w:p>
        </w:tc>
        <w:tc>
          <w:tcPr>
            <w:tcW w:w="6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75" w:hanging="0"/>
              <w:jc w:val="center"/>
              <w:rPr/>
            </w:pPr>
            <w:r>
              <w:rPr/>
            </w:r>
          </w:p>
        </w:tc>
        <w:tc>
          <w:tcPr>
            <w:tcW w:w="5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highlight w:val="yellow"/>
              </w:rPr>
            </w:pPr>
            <w:r>
              <w:rPr>
                <w:highlight w:val="yellow"/>
              </w:rPr>
            </w:r>
          </w:p>
        </w:tc>
        <w:tc>
          <w:tcPr>
            <w:tcW w:w="2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64" w:right="-150" w:hanging="0"/>
              <w:jc w:val="center"/>
              <w:rPr/>
            </w:pPr>
            <w:r>
              <w:rPr/>
            </w:r>
          </w:p>
        </w:tc>
        <w:tc>
          <w:tcPr>
            <w:tcW w:w="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3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6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733" w:type="dxa"/>
            <w:tcBorders>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87" w:type="dxa"/>
            <w:tcBorders>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3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4" w:hanging="0"/>
              <w:jc w:val="center"/>
              <w:rPr/>
            </w:pPr>
            <w:r>
              <w:rPr/>
            </w:r>
          </w:p>
        </w:tc>
        <w:tc>
          <w:tcPr>
            <w:tcW w:w="154" w:type="dxa"/>
            <w:tcBorders/>
          </w:tcPr>
          <w:p>
            <w:pPr>
              <w:pStyle w:val="Normal"/>
              <w:widowControl w:val="false"/>
              <w:rPr/>
            </w:pPr>
            <w:r>
              <w:rPr/>
            </w:r>
          </w:p>
        </w:tc>
      </w:tr>
      <w:tr>
        <w:trPr>
          <w:trHeight w:val="262" w:hRule="atLeast"/>
        </w:trPr>
        <w:tc>
          <w:tcPr>
            <w:tcW w:w="2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t>3</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rPr/>
            </w:pPr>
            <w:r>
              <w:rPr/>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90" w:hanging="0"/>
              <w:jc w:val="center"/>
              <w:rPr/>
            </w:pPr>
            <w:r>
              <w:rPr/>
            </w:r>
          </w:p>
        </w:tc>
        <w:tc>
          <w:tcPr>
            <w:tcW w:w="6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75" w:hanging="0"/>
              <w:jc w:val="center"/>
              <w:rPr/>
            </w:pPr>
            <w:r>
              <w:rPr/>
            </w:r>
          </w:p>
        </w:tc>
        <w:tc>
          <w:tcPr>
            <w:tcW w:w="5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highlight w:val="yellow"/>
              </w:rPr>
            </w:pPr>
            <w:r>
              <w:rPr>
                <w:highlight w:val="yellow"/>
              </w:rPr>
            </w:r>
          </w:p>
        </w:tc>
        <w:tc>
          <w:tcPr>
            <w:tcW w:w="2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64" w:right="-150" w:hanging="0"/>
              <w:jc w:val="center"/>
              <w:rPr/>
            </w:pPr>
            <w:r>
              <w:rPr/>
            </w:r>
          </w:p>
        </w:tc>
        <w:tc>
          <w:tcPr>
            <w:tcW w:w="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3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6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733" w:type="dxa"/>
            <w:tcBorders>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87" w:type="dxa"/>
            <w:tcBorders>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3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4" w:hanging="0"/>
              <w:jc w:val="center"/>
              <w:rPr/>
            </w:pPr>
            <w:r>
              <w:rPr/>
            </w:r>
          </w:p>
        </w:tc>
        <w:tc>
          <w:tcPr>
            <w:tcW w:w="154" w:type="dxa"/>
            <w:tcBorders/>
          </w:tcPr>
          <w:p>
            <w:pPr>
              <w:pStyle w:val="Normal"/>
              <w:widowControl w:val="false"/>
              <w:rPr/>
            </w:pPr>
            <w:r>
              <w:rPr/>
            </w:r>
          </w:p>
        </w:tc>
      </w:tr>
      <w:tr>
        <w:trPr>
          <w:trHeight w:val="244" w:hRule="atLeast"/>
        </w:trPr>
        <w:tc>
          <w:tcPr>
            <w:tcW w:w="2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lang w:val="en-US"/>
              </w:rPr>
            </w:pPr>
            <w:r>
              <w:rPr>
                <w:lang w:val="en-US"/>
              </w:rPr>
              <w:t>…</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rPr/>
            </w:pPr>
            <w:r>
              <w:rPr/>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90" w:hanging="0"/>
              <w:jc w:val="center"/>
              <w:rPr/>
            </w:pPr>
            <w:r>
              <w:rPr/>
            </w:r>
          </w:p>
        </w:tc>
        <w:tc>
          <w:tcPr>
            <w:tcW w:w="6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75" w:hanging="0"/>
              <w:jc w:val="center"/>
              <w:rPr/>
            </w:pPr>
            <w:r>
              <w:rPr/>
            </w:r>
          </w:p>
        </w:tc>
        <w:tc>
          <w:tcPr>
            <w:tcW w:w="5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highlight w:val="yellow"/>
              </w:rPr>
            </w:pPr>
            <w:r>
              <w:rPr>
                <w:highlight w:val="yellow"/>
              </w:rPr>
            </w:r>
          </w:p>
        </w:tc>
        <w:tc>
          <w:tcPr>
            <w:tcW w:w="2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64" w:right="-150" w:hanging="0"/>
              <w:jc w:val="center"/>
              <w:rPr/>
            </w:pPr>
            <w:r>
              <w:rPr/>
            </w:r>
          </w:p>
        </w:tc>
        <w:tc>
          <w:tcPr>
            <w:tcW w:w="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3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6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733" w:type="dxa"/>
            <w:tcBorders>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87" w:type="dxa"/>
            <w:tcBorders>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3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4" w:hanging="0"/>
              <w:jc w:val="center"/>
              <w:rPr/>
            </w:pPr>
            <w:r>
              <w:rPr/>
            </w:r>
          </w:p>
        </w:tc>
        <w:tc>
          <w:tcPr>
            <w:tcW w:w="154" w:type="dxa"/>
            <w:tcBorders/>
          </w:tcPr>
          <w:p>
            <w:pPr>
              <w:pStyle w:val="Normal"/>
              <w:widowControl w:val="false"/>
              <w:rPr/>
            </w:pPr>
            <w:r>
              <w:rPr/>
            </w:r>
          </w:p>
        </w:tc>
      </w:tr>
      <w:tr>
        <w:trPr>
          <w:trHeight w:val="70" w:hRule="atLeast"/>
        </w:trPr>
        <w:tc>
          <w:tcPr>
            <w:tcW w:w="2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lang w:val="en-US"/>
              </w:rPr>
            </w:pPr>
            <w:r>
              <w:rPr>
                <w:lang w:val="en-US"/>
              </w:rPr>
              <w:t>…</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rPr/>
            </w:pPr>
            <w:r>
              <w:rPr/>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90" w:hanging="0"/>
              <w:jc w:val="center"/>
              <w:rPr/>
            </w:pPr>
            <w:r>
              <w:rPr/>
            </w:r>
          </w:p>
        </w:tc>
        <w:tc>
          <w:tcPr>
            <w:tcW w:w="6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75" w:hanging="0"/>
              <w:jc w:val="center"/>
              <w:rPr>
                <w:lang w:val="en-US"/>
              </w:rPr>
            </w:pPr>
            <w:r>
              <w:rPr>
                <w:lang w:val="en-US"/>
              </w:rPr>
            </w:r>
          </w:p>
        </w:tc>
        <w:tc>
          <w:tcPr>
            <w:tcW w:w="5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highlight w:val="yellow"/>
              </w:rPr>
            </w:pPr>
            <w:r>
              <w:rPr>
                <w:highlight w:val="yellow"/>
              </w:rPr>
            </w:r>
          </w:p>
        </w:tc>
        <w:tc>
          <w:tcPr>
            <w:tcW w:w="2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64" w:right="-150" w:hanging="0"/>
              <w:jc w:val="center"/>
              <w:rPr/>
            </w:pPr>
            <w:r>
              <w:rPr/>
            </w:r>
          </w:p>
        </w:tc>
        <w:tc>
          <w:tcPr>
            <w:tcW w:w="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3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6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733" w:type="dxa"/>
            <w:tcBorders>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87" w:type="dxa"/>
            <w:tcBorders>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3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4" w:hanging="0"/>
              <w:jc w:val="center"/>
              <w:rPr/>
            </w:pPr>
            <w:r>
              <w:rPr/>
            </w:r>
          </w:p>
        </w:tc>
        <w:tc>
          <w:tcPr>
            <w:tcW w:w="154" w:type="dxa"/>
            <w:tcBorders/>
          </w:tcPr>
          <w:p>
            <w:pPr>
              <w:pStyle w:val="Normal"/>
              <w:widowControl w:val="false"/>
              <w:rPr/>
            </w:pPr>
            <w:r>
              <w:rPr/>
            </w:r>
          </w:p>
        </w:tc>
      </w:tr>
      <w:tr>
        <w:trPr>
          <w:trHeight w:val="70" w:hRule="atLeast"/>
        </w:trPr>
        <w:tc>
          <w:tcPr>
            <w:tcW w:w="2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lang w:val="en-US"/>
              </w:rPr>
            </w:pPr>
            <w:r>
              <w:rPr>
                <w:lang w:val="en-US"/>
              </w:rPr>
              <w:t>…</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rPr/>
            </w:pPr>
            <w:r>
              <w:rPr/>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90" w:hanging="0"/>
              <w:jc w:val="center"/>
              <w:rPr/>
            </w:pPr>
            <w:r>
              <w:rPr/>
            </w:r>
          </w:p>
        </w:tc>
        <w:tc>
          <w:tcPr>
            <w:tcW w:w="6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75" w:hanging="0"/>
              <w:jc w:val="center"/>
              <w:rPr/>
            </w:pPr>
            <w:r>
              <w:rPr/>
            </w:r>
          </w:p>
        </w:tc>
        <w:tc>
          <w:tcPr>
            <w:tcW w:w="5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highlight w:val="yellow"/>
              </w:rPr>
            </w:pPr>
            <w:r>
              <w:rPr>
                <w:highlight w:val="yellow"/>
              </w:rPr>
            </w:r>
          </w:p>
        </w:tc>
        <w:tc>
          <w:tcPr>
            <w:tcW w:w="2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64" w:right="-150" w:hanging="0"/>
              <w:jc w:val="center"/>
              <w:rPr/>
            </w:pPr>
            <w:r>
              <w:rPr/>
            </w:r>
          </w:p>
        </w:tc>
        <w:tc>
          <w:tcPr>
            <w:tcW w:w="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3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6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733" w:type="dxa"/>
            <w:tcBorders>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87" w:type="dxa"/>
            <w:tcBorders>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3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4" w:hanging="0"/>
              <w:jc w:val="center"/>
              <w:rPr/>
            </w:pPr>
            <w:r>
              <w:rPr/>
            </w:r>
          </w:p>
        </w:tc>
        <w:tc>
          <w:tcPr>
            <w:tcW w:w="154" w:type="dxa"/>
            <w:tcBorders/>
          </w:tcPr>
          <w:p>
            <w:pPr>
              <w:pStyle w:val="Normal"/>
              <w:widowControl w:val="false"/>
              <w:rPr/>
            </w:pPr>
            <w:r>
              <w:rPr/>
            </w:r>
          </w:p>
        </w:tc>
      </w:tr>
      <w:tr>
        <w:trPr>
          <w:trHeight w:val="538" w:hRule="atLeast"/>
        </w:trPr>
        <w:tc>
          <w:tcPr>
            <w:tcW w:w="6343" w:type="dxa"/>
            <w:gridSpan w:val="11"/>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90" w:hanging="0"/>
              <w:jc w:val="right"/>
              <w:rPr>
                <w:sz w:val="24"/>
                <w:szCs w:val="24"/>
              </w:rPr>
            </w:pPr>
            <w:r>
              <w:rPr>
                <w:sz w:val="24"/>
                <w:szCs w:val="24"/>
              </w:rPr>
              <w:t>Итого стоимость всего Товара (с учетом доставки), руб.</w:t>
            </w:r>
          </w:p>
        </w:tc>
        <w:tc>
          <w:tcPr>
            <w:tcW w:w="6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b/>
              </w:rPr>
            </w:pPr>
            <w:r>
              <w:rPr>
                <w:b/>
              </w:rPr>
            </w:r>
          </w:p>
        </w:tc>
        <w:tc>
          <w:tcPr>
            <w:tcW w:w="7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b/>
              </w:rPr>
            </w:pPr>
            <w:r>
              <w:rPr>
                <w:b/>
              </w:rPr>
            </w:r>
          </w:p>
        </w:tc>
        <w:tc>
          <w:tcPr>
            <w:tcW w:w="894"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b/>
              </w:rPr>
            </w:pPr>
            <w:r>
              <w:rPr>
                <w:b/>
              </w:rPr>
            </w:r>
          </w:p>
        </w:tc>
        <w:tc>
          <w:tcPr>
            <w:tcW w:w="982"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r>
    </w:tbl>
    <w:p>
      <w:pPr>
        <w:pStyle w:val="Normal"/>
        <w:rPr>
          <w:i/>
          <w:i/>
          <w:sz w:val="24"/>
          <w:szCs w:val="24"/>
        </w:rPr>
      </w:pPr>
      <w:r>
        <w:rPr>
          <w:i/>
          <w:sz w:val="24"/>
          <w:szCs w:val="24"/>
        </w:rPr>
      </w:r>
    </w:p>
    <w:p>
      <w:pPr>
        <w:pStyle w:val="Normal"/>
        <w:rPr>
          <w:i/>
          <w:i/>
          <w:sz w:val="22"/>
          <w:szCs w:val="22"/>
        </w:rPr>
      </w:pPr>
      <w:r>
        <w:rPr>
          <w:i/>
          <w:sz w:val="22"/>
          <w:szCs w:val="22"/>
        </w:rPr>
      </w:r>
    </w:p>
    <w:p>
      <w:pPr>
        <w:pStyle w:val="Normal"/>
        <w:rPr>
          <w:i/>
          <w:i/>
          <w:sz w:val="22"/>
          <w:szCs w:val="22"/>
        </w:rPr>
      </w:pPr>
      <w:r>
        <w:rPr>
          <w:i/>
          <w:sz w:val="22"/>
          <w:szCs w:val="22"/>
        </w:rPr>
      </w:r>
    </w:p>
    <w:tbl>
      <w:tblPr>
        <w:tblW w:w="14562"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7282"/>
        <w:gridCol w:w="7279"/>
      </w:tblGrid>
      <w:tr>
        <w:trPr>
          <w:trHeight w:val="269" w:hRule="atLeast"/>
        </w:trPr>
        <w:tc>
          <w:tcPr>
            <w:tcW w:w="7282" w:type="dxa"/>
            <w:tcBorders/>
          </w:tcPr>
          <w:p>
            <w:pPr>
              <w:pStyle w:val="Normal"/>
              <w:widowControl w:val="false"/>
              <w:rPr>
                <w:b/>
                <w:sz w:val="24"/>
              </w:rPr>
            </w:pPr>
            <w:r>
              <w:rPr>
                <w:b/>
                <w:sz w:val="24"/>
              </w:rPr>
              <w:t>Покупатель:</w:t>
            </w:r>
          </w:p>
        </w:tc>
        <w:tc>
          <w:tcPr>
            <w:tcW w:w="7279" w:type="dxa"/>
            <w:tcBorders/>
          </w:tcPr>
          <w:p>
            <w:pPr>
              <w:pStyle w:val="Normal"/>
              <w:widowControl w:val="false"/>
              <w:rPr>
                <w:b/>
                <w:sz w:val="24"/>
              </w:rPr>
            </w:pPr>
            <w:r>
              <w:rPr>
                <w:b/>
                <w:sz w:val="24"/>
              </w:rPr>
              <w:t>Поставщик:</w:t>
            </w:r>
          </w:p>
          <w:p>
            <w:pPr>
              <w:pStyle w:val="Normal"/>
              <w:widowControl w:val="false"/>
              <w:rPr>
                <w:b/>
                <w:sz w:val="24"/>
              </w:rPr>
            </w:pPr>
            <w:r>
              <w:rPr>
                <w:b/>
                <w:sz w:val="24"/>
              </w:rPr>
            </w:r>
          </w:p>
        </w:tc>
      </w:tr>
    </w:tbl>
    <w:p>
      <w:pPr>
        <w:sectPr>
          <w:headerReference w:type="default" r:id="rId12"/>
          <w:headerReference w:type="first" r:id="rId13"/>
          <w:footerReference w:type="default" r:id="rId14"/>
          <w:footerReference w:type="first" r:id="rId15"/>
          <w:footnotePr>
            <w:numFmt w:val="decimal"/>
          </w:footnotePr>
          <w:type w:val="nextPage"/>
          <w:pgSz w:w="11906" w:h="16838"/>
          <w:pgMar w:left="1418" w:right="851" w:gutter="0" w:header="709" w:top="1134" w:footer="709" w:bottom="1134"/>
          <w:pgNumType w:fmt="decimal"/>
          <w:formProt w:val="false"/>
          <w:textDirection w:val="lrTb"/>
          <w:docGrid w:type="default" w:linePitch="360" w:charSpace="0"/>
        </w:sectPr>
        <w:pStyle w:val="Normal"/>
        <w:rPr>
          <w:i/>
          <w:i/>
          <w:sz w:val="24"/>
          <w:szCs w:val="24"/>
          <w:highlight w:val="yellow"/>
        </w:rPr>
      </w:pPr>
      <w:r>
        <w:rPr/>
        <w:t xml:space="preserve"> </w:t>
      </w:r>
      <w:r>
        <w:rPr>
          <w:sz w:val="24"/>
          <w:szCs w:val="24"/>
        </w:rPr>
        <w:t>__________________ /А.Г. Бяков</w:t>
        <w:tab/>
        <w:t xml:space="preserve">                                                                               _______________ /_________</w:t>
      </w:r>
    </w:p>
    <w:p>
      <w:pPr>
        <w:pStyle w:val="Normal"/>
        <w:ind w:left="5103" w:hanging="0"/>
        <w:jc w:val="right"/>
        <w:rPr>
          <w:sz w:val="22"/>
          <w:szCs w:val="22"/>
        </w:rPr>
      </w:pPr>
      <w:r>
        <w:rPr>
          <w:sz w:val="22"/>
          <w:szCs w:val="22"/>
        </w:rPr>
        <w:t>Приложение № 2</w:t>
      </w:r>
    </w:p>
    <w:p>
      <w:pPr>
        <w:pStyle w:val="Normal"/>
        <w:ind w:left="5103" w:hanging="0"/>
        <w:jc w:val="right"/>
        <w:rPr>
          <w:sz w:val="22"/>
          <w:szCs w:val="22"/>
        </w:rPr>
      </w:pPr>
      <w:r>
        <w:rPr>
          <w:sz w:val="22"/>
          <w:szCs w:val="22"/>
        </w:rPr>
        <w:t xml:space="preserve">к Договору поставки </w:t>
      </w:r>
    </w:p>
    <w:p>
      <w:pPr>
        <w:pStyle w:val="Normal"/>
        <w:ind w:left="5103" w:hanging="0"/>
        <w:jc w:val="right"/>
        <w:rPr>
          <w:sz w:val="22"/>
          <w:szCs w:val="22"/>
        </w:rPr>
      </w:pPr>
      <w:r>
        <w:rPr>
          <w:sz w:val="22"/>
          <w:szCs w:val="22"/>
        </w:rPr>
        <w:t xml:space="preserve">от «____» ________ 2026 г. № ____________ </w:t>
      </w:r>
    </w:p>
    <w:p>
      <w:pPr>
        <w:pStyle w:val="Normal"/>
        <w:widowControl/>
        <w:ind w:firstLine="567"/>
        <w:jc w:val="center"/>
        <w:rPr>
          <w:rFonts w:eastAsia="Calibri"/>
          <w:b/>
          <w:sz w:val="24"/>
          <w:szCs w:val="24"/>
          <w:lang w:eastAsia="en-US"/>
        </w:rPr>
      </w:pPr>
      <w:r>
        <w:rPr>
          <w:rFonts w:eastAsia="Calibri"/>
          <w:b/>
          <w:sz w:val="24"/>
          <w:szCs w:val="24"/>
          <w:lang w:eastAsia="en-US"/>
        </w:rPr>
      </w:r>
    </w:p>
    <w:p>
      <w:pPr>
        <w:pStyle w:val="Normal"/>
        <w:widowControl/>
        <w:ind w:firstLine="567"/>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t>ТЕХНИЧЕСКИЕ ТРЕБОВАНИЯ</w:t>
      </w:r>
    </w:p>
    <w:p>
      <w:pPr>
        <w:pStyle w:val="Normal"/>
        <w:widowControl/>
        <w:jc w:val="center"/>
        <w:rPr>
          <w:rFonts w:eastAsia="Calibri"/>
          <w:color w:val="000000" w:themeColor="text1"/>
          <w:sz w:val="24"/>
          <w:szCs w:val="24"/>
          <w:lang w:eastAsia="en-US"/>
        </w:rPr>
      </w:pPr>
      <w:r>
        <w:rPr>
          <w:rFonts w:eastAsia="Calibri"/>
          <w:color w:val="000000" w:themeColor="text1"/>
          <w:sz w:val="24"/>
          <w:szCs w:val="24"/>
          <w:lang w:eastAsia="en-US"/>
        </w:rPr>
        <w:t>ОКПД2 19.20.29.160 Поставка горюче-смазочных материалов для нужд филиала ПАО "РусГидро"-"Воткинская ГЭС"</w:t>
      </w:r>
    </w:p>
    <w:p>
      <w:pPr>
        <w:pStyle w:val="Normal"/>
        <w:widowControl/>
        <w:jc w:val="center"/>
        <w:rPr>
          <w:rFonts w:eastAsia="Calibri"/>
          <w:sz w:val="24"/>
          <w:szCs w:val="24"/>
          <w:lang w:eastAsia="en-US"/>
        </w:rPr>
      </w:pPr>
      <w:r>
        <w:rPr>
          <w:rFonts w:eastAsia="Calibri"/>
          <w:sz w:val="24"/>
          <w:szCs w:val="24"/>
          <w:lang w:eastAsia="en-US"/>
        </w:rPr>
      </w:r>
    </w:p>
    <w:p>
      <w:pPr>
        <w:pStyle w:val="Normal"/>
        <w:widowControl/>
        <w:jc w:val="center"/>
        <w:rPr>
          <w:rFonts w:eastAsia="Calibri"/>
          <w:sz w:val="24"/>
          <w:szCs w:val="24"/>
          <w:lang w:eastAsia="en-US"/>
        </w:rPr>
      </w:pPr>
      <w:r>
        <w:rPr>
          <w:rFonts w:eastAsia="Calibri"/>
          <w:sz w:val="24"/>
          <w:szCs w:val="24"/>
          <w:lang w:eastAsia="en-US"/>
        </w:rPr>
        <w:t>Лот № 30-ЭКСП-БПД-2026-ВотГЭС</w:t>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b/>
          <w:sz w:val="24"/>
          <w:szCs w:val="24"/>
        </w:rPr>
      </w:pPr>
      <w:r>
        <w:rPr>
          <w:b/>
          <w:sz w:val="24"/>
          <w:szCs w:val="24"/>
        </w:rPr>
      </w:r>
    </w:p>
    <w:p>
      <w:pPr>
        <w:pStyle w:val="Normal"/>
        <w:numPr>
          <w:ilvl w:val="0"/>
          <w:numId w:val="0"/>
        </w:numPr>
        <w:jc w:val="center"/>
        <w:outlineLvl w:val="0"/>
        <w:rPr>
          <w:b/>
          <w:bCs/>
          <w:sz w:val="24"/>
          <w:szCs w:val="24"/>
        </w:rPr>
      </w:pPr>
      <w:r>
        <w:rPr>
          <w:b/>
          <w:bCs/>
          <w:sz w:val="24"/>
          <w:szCs w:val="24"/>
        </w:rPr>
        <w:t>ПОДПИСИ СТОРОН:</w:t>
      </w:r>
    </w:p>
    <w:p>
      <w:pPr>
        <w:pStyle w:val="Normal"/>
        <w:numPr>
          <w:ilvl w:val="0"/>
          <w:numId w:val="0"/>
        </w:numPr>
        <w:jc w:val="center"/>
        <w:outlineLvl w:val="0"/>
        <w:rPr>
          <w:bCs/>
          <w:sz w:val="24"/>
          <w:szCs w:val="24"/>
        </w:rPr>
      </w:pPr>
      <w:r>
        <w:rPr>
          <w:bCs/>
          <w:sz w:val="24"/>
          <w:szCs w:val="24"/>
        </w:rPr>
      </w:r>
    </w:p>
    <w:tbl>
      <w:tblPr>
        <w:tblW w:w="9986" w:type="dxa"/>
        <w:jc w:val="left"/>
        <w:tblInd w:w="-176" w:type="dxa"/>
        <w:tblLayout w:type="fixed"/>
        <w:tblCellMar>
          <w:top w:w="0" w:type="dxa"/>
          <w:left w:w="108" w:type="dxa"/>
          <w:bottom w:w="0" w:type="dxa"/>
          <w:right w:w="108" w:type="dxa"/>
        </w:tblCellMar>
        <w:tblLook w:noVBand="1" w:val="04a0" w:noHBand="0" w:lastColumn="0" w:firstColumn="1" w:lastRow="0" w:firstRow="1"/>
      </w:tblPr>
      <w:tblGrid>
        <w:gridCol w:w="5305"/>
        <w:gridCol w:w="4680"/>
      </w:tblGrid>
      <w:tr>
        <w:trPr/>
        <w:tc>
          <w:tcPr>
            <w:tcW w:w="5305" w:type="dxa"/>
            <w:tcBorders/>
            <w:shd w:color="auto" w:fill="auto" w:val="clear"/>
          </w:tcPr>
          <w:p>
            <w:pPr>
              <w:pStyle w:val="Normal"/>
              <w:widowControl w:val="false"/>
              <w:rPr>
                <w:b/>
                <w:sz w:val="24"/>
                <w:szCs w:val="24"/>
              </w:rPr>
            </w:pPr>
            <w:r>
              <w:rPr>
                <w:b/>
                <w:sz w:val="24"/>
                <w:szCs w:val="24"/>
              </w:rPr>
              <w:t>Покупатель:</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_____________________/А.Г. Бяков</w:t>
            </w:r>
          </w:p>
          <w:p>
            <w:pPr>
              <w:pStyle w:val="Normal"/>
              <w:widowControl w:val="false"/>
              <w:rPr>
                <w:sz w:val="24"/>
                <w:szCs w:val="24"/>
              </w:rPr>
            </w:pPr>
            <w:r>
              <w:rPr>
                <w:sz w:val="24"/>
                <w:szCs w:val="24"/>
              </w:rPr>
            </w:r>
          </w:p>
        </w:tc>
        <w:tc>
          <w:tcPr>
            <w:tcW w:w="4680" w:type="dxa"/>
            <w:tcBorders/>
            <w:shd w:color="auto" w:fill="auto" w:val="clear"/>
          </w:tcPr>
          <w:p>
            <w:pPr>
              <w:pStyle w:val="Normal"/>
              <w:widowControl w:val="false"/>
              <w:rPr>
                <w:b/>
                <w:sz w:val="24"/>
                <w:szCs w:val="24"/>
              </w:rPr>
            </w:pPr>
            <w:r>
              <w:rPr>
                <w:b/>
                <w:sz w:val="24"/>
                <w:szCs w:val="24"/>
              </w:rPr>
              <w:t>Поставщик:</w:t>
            </w:r>
          </w:p>
          <w:p>
            <w:pPr>
              <w:pStyle w:val="Normal"/>
              <w:widowControl w:val="false"/>
              <w:rPr>
                <w:sz w:val="24"/>
                <w:szCs w:val="24"/>
              </w:rPr>
            </w:pPr>
            <w:r>
              <w:rPr>
                <w:sz w:val="24"/>
                <w:szCs w:val="24"/>
              </w:rPr>
            </w:r>
          </w:p>
          <w:p>
            <w:pPr>
              <w:pStyle w:val="Normal"/>
              <w:widowControl w:val="false"/>
              <w:rPr>
                <w:sz w:val="24"/>
                <w:szCs w:val="24"/>
                <w:lang w:val="en-US"/>
              </w:rPr>
            </w:pPr>
            <w:r>
              <w:rPr>
                <w:sz w:val="24"/>
                <w:szCs w:val="24"/>
              </w:rPr>
              <w:t>_____________________/</w:t>
            </w:r>
            <w:r>
              <w:rPr>
                <w:sz w:val="24"/>
                <w:szCs w:val="24"/>
                <w:lang w:val="en-US"/>
              </w:rPr>
              <w:t>________</w:t>
            </w:r>
          </w:p>
          <w:p>
            <w:pPr>
              <w:pStyle w:val="Normal"/>
              <w:widowControl w:val="false"/>
              <w:ind w:firstLine="33"/>
              <w:rPr>
                <w:b/>
                <w:sz w:val="24"/>
                <w:szCs w:val="24"/>
              </w:rPr>
            </w:pPr>
            <w:r>
              <w:rPr>
                <w:b/>
                <w:sz w:val="24"/>
                <w:szCs w:val="24"/>
              </w:rPr>
            </w:r>
          </w:p>
        </w:tc>
      </w:tr>
    </w:tbl>
    <w:p>
      <w:pPr>
        <w:sectPr>
          <w:headerReference w:type="default" r:id="rId16"/>
          <w:headerReference w:type="first" r:id="rId17"/>
          <w:footerReference w:type="default" r:id="rId18"/>
          <w:footerReference w:type="first" r:id="rId19"/>
          <w:footnotePr>
            <w:numFmt w:val="decimal"/>
          </w:footnotePr>
          <w:type w:val="nextPage"/>
          <w:pgSz w:w="11906" w:h="16838"/>
          <w:pgMar w:left="1418" w:right="851" w:gutter="0" w:header="567" w:top="1134" w:footer="709" w:bottom="1134"/>
          <w:pgNumType w:fmt="decimal"/>
          <w:formProt w:val="false"/>
          <w:textDirection w:val="lrTb"/>
          <w:docGrid w:type="default" w:linePitch="360" w:charSpace="0"/>
        </w:sectPr>
      </w:pPr>
    </w:p>
    <w:p>
      <w:pPr>
        <w:pStyle w:val="Normal"/>
        <w:widowControl/>
        <w:jc w:val="right"/>
        <w:rPr>
          <w:rFonts w:eastAsia="Calibri"/>
          <w:sz w:val="24"/>
          <w:szCs w:val="24"/>
          <w:lang w:eastAsia="en-US"/>
        </w:rPr>
      </w:pPr>
      <w:r>
        <w:rPr>
          <w:rFonts w:eastAsia="Calibri"/>
          <w:sz w:val="24"/>
          <w:szCs w:val="24"/>
          <w:lang w:eastAsia="en-US"/>
        </w:rPr>
      </w:r>
    </w:p>
    <w:p>
      <w:pPr>
        <w:pStyle w:val="Normal"/>
        <w:ind w:firstLine="5580"/>
        <w:jc w:val="right"/>
        <w:rPr>
          <w:sz w:val="24"/>
          <w:szCs w:val="24"/>
        </w:rPr>
      </w:pPr>
      <w:r>
        <w:rPr>
          <w:sz w:val="24"/>
          <w:szCs w:val="24"/>
        </w:rPr>
        <w:t>Приложение № 3</w:t>
      </w:r>
    </w:p>
    <w:p>
      <w:pPr>
        <w:pStyle w:val="Normal"/>
        <w:ind w:firstLine="5580"/>
        <w:jc w:val="right"/>
        <w:rPr>
          <w:sz w:val="24"/>
          <w:szCs w:val="24"/>
        </w:rPr>
      </w:pPr>
      <w:r>
        <w:rPr>
          <w:sz w:val="24"/>
          <w:szCs w:val="24"/>
        </w:rPr>
        <w:t>к Договору поставки</w:t>
      </w:r>
    </w:p>
    <w:p>
      <w:pPr>
        <w:pStyle w:val="Normal"/>
        <w:ind w:firstLine="5580"/>
        <w:jc w:val="right"/>
        <w:rPr>
          <w:bCs/>
          <w:sz w:val="24"/>
          <w:szCs w:val="24"/>
        </w:rPr>
      </w:pPr>
      <w:r>
        <w:rPr>
          <w:sz w:val="24"/>
          <w:szCs w:val="24"/>
        </w:rPr>
        <w:t>от «__» ________2026 г. № __________</w:t>
      </w:r>
    </w:p>
    <w:p>
      <w:pPr>
        <w:pStyle w:val="Normal"/>
        <w:widowControl/>
        <w:tabs>
          <w:tab w:val="clear" w:pos="708"/>
          <w:tab w:val="left" w:pos="1418" w:leader="none"/>
        </w:tabs>
        <w:spacing w:before="0" w:after="0"/>
        <w:ind w:firstLine="6237"/>
        <w:contextualSpacing/>
        <w:jc w:val="center"/>
        <w:rPr>
          <w:bCs/>
          <w:sz w:val="24"/>
          <w:szCs w:val="24"/>
        </w:rPr>
      </w:pPr>
      <w:r>
        <w:rPr>
          <w:bCs/>
          <w:sz w:val="24"/>
          <w:szCs w:val="24"/>
        </w:rPr>
      </w:r>
    </w:p>
    <w:p>
      <w:pPr>
        <w:pStyle w:val="Normal"/>
        <w:widowControl/>
        <w:rPr>
          <w:rFonts w:eastAsia="Calibri"/>
          <w:sz w:val="24"/>
          <w:szCs w:val="24"/>
          <w:lang w:eastAsia="en-US"/>
        </w:rPr>
      </w:pPr>
      <w:r>
        <w:rPr>
          <w:rFonts w:eastAsia="Calibri"/>
          <w:sz w:val="24"/>
          <w:szCs w:val="24"/>
          <w:lang w:eastAsia="en-US"/>
        </w:rPr>
      </w:r>
    </w:p>
    <w:p>
      <w:pPr>
        <w:pStyle w:val="Normal"/>
        <w:jc w:val="center"/>
        <w:rPr>
          <w:b/>
          <w:bCs/>
          <w:sz w:val="24"/>
          <w:szCs w:val="24"/>
        </w:rPr>
      </w:pPr>
      <w:r>
        <w:rPr>
          <w:b/>
          <w:bCs/>
          <w:sz w:val="24"/>
          <w:szCs w:val="24"/>
        </w:rPr>
        <w:t>Размер ответственности Поставщика за нарушения</w:t>
      </w:r>
    </w:p>
    <w:p>
      <w:pPr>
        <w:pStyle w:val="Normal"/>
        <w:jc w:val="center"/>
        <w:rPr>
          <w:b/>
          <w:bCs/>
          <w:sz w:val="24"/>
          <w:szCs w:val="24"/>
        </w:rPr>
      </w:pPr>
      <w:r>
        <w:rPr>
          <w:b/>
          <w:bCs/>
          <w:sz w:val="24"/>
          <w:szCs w:val="24"/>
        </w:rPr>
        <w:t>пропускного и внутриобъектового режима, требований охраны труда,</w:t>
      </w:r>
    </w:p>
    <w:p>
      <w:pPr>
        <w:pStyle w:val="Normal"/>
        <w:jc w:val="center"/>
        <w:rPr>
          <w:b/>
          <w:sz w:val="24"/>
          <w:szCs w:val="24"/>
        </w:rPr>
      </w:pPr>
      <w:r>
        <w:rPr>
          <w:b/>
          <w:bCs/>
          <w:sz w:val="24"/>
          <w:szCs w:val="24"/>
        </w:rPr>
        <w:t>пожарной и промышленной безопасности</w:t>
      </w:r>
    </w:p>
    <w:p>
      <w:pPr>
        <w:pStyle w:val="Normal"/>
        <w:rPr>
          <w:b/>
          <w:sz w:val="24"/>
          <w:szCs w:val="24"/>
        </w:rPr>
      </w:pPr>
      <w:r>
        <w:rPr>
          <w:b/>
          <w:sz w:val="24"/>
          <w:szCs w:val="24"/>
        </w:rPr>
      </w:r>
    </w:p>
    <w:tbl>
      <w:tblPr>
        <w:tblW w:w="5000" w:type="pct"/>
        <w:jc w:val="left"/>
        <w:tblInd w:w="0" w:type="dxa"/>
        <w:tblLayout w:type="fixed"/>
        <w:tblCellMar>
          <w:top w:w="0" w:type="dxa"/>
          <w:left w:w="108" w:type="dxa"/>
          <w:bottom w:w="0" w:type="dxa"/>
          <w:right w:w="108" w:type="dxa"/>
        </w:tblCellMar>
        <w:tblLook w:noVBand="0" w:val="01e0" w:noHBand="0" w:lastColumn="1" w:firstColumn="1" w:lastRow="1" w:firstRow="1"/>
      </w:tblPr>
      <w:tblGrid>
        <w:gridCol w:w="3670"/>
        <w:gridCol w:w="5966"/>
      </w:tblGrid>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Виды нарушений</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Штрафные санкции</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 Нарушение правил пожарной безопасности (ППБ):</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1.1. Нарушение ППБ без возникновения пожара</w:t>
            </w:r>
          </w:p>
          <w:p>
            <w:pPr>
              <w:pStyle w:val="Normal"/>
              <w:widowControl w:val="false"/>
              <w:rPr>
                <w:b/>
                <w:sz w:val="24"/>
                <w:szCs w:val="24"/>
              </w:rPr>
            </w:pPr>
            <w:r>
              <w:rPr>
                <w:b/>
                <w:sz w:val="24"/>
                <w:szCs w:val="24"/>
              </w:rPr>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25 000 (двадцать пять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1.2. Нарушение ППБ, ставшее причиной возникновения пожара, не причинившего ущерб имуществу Покупателя</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50 000 (пятьдесят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1.3. Нарушение ППБ, ставшее причиной возникновения пожара, причинившего ущерб имуществу Покупателя.</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250 000 (двести пятьдесят тысяч) рублей за каждый случай нарушения.</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2.</w:t>
            </w:r>
            <w:r>
              <w:rPr>
                <w:b/>
                <w:sz w:val="24"/>
                <w:szCs w:val="24"/>
              </w:rPr>
              <w:t xml:space="preserve"> </w:t>
            </w:r>
            <w:r>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- 50 000 (пятьдесят тысяч) рублей за каждый случай нарушения;</w:t>
            </w:r>
          </w:p>
          <w:p>
            <w:pPr>
              <w:pStyle w:val="Normal"/>
              <w:widowControl w:val="false"/>
              <w:jc w:val="both"/>
              <w:rPr>
                <w:sz w:val="24"/>
                <w:szCs w:val="24"/>
              </w:rPr>
            </w:pPr>
            <w:r>
              <w:rPr>
                <w:sz w:val="24"/>
                <w:szCs w:val="24"/>
              </w:rPr>
              <w:t xml:space="preserve">- 500 (пятьсот) рублей в случае утраты или приведения в негодность электронного пропуска, выданного Покупателем. </w:t>
            </w:r>
          </w:p>
          <w:p>
            <w:pPr>
              <w:pStyle w:val="Normal"/>
              <w:widowControl w:val="false"/>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rPr>
          <w:sz w:val="24"/>
          <w:szCs w:val="24"/>
        </w:rPr>
      </w:pPr>
      <w:r>
        <w:rPr>
          <w:sz w:val="24"/>
          <w:szCs w:val="24"/>
        </w:rPr>
      </w:r>
    </w:p>
    <w:p>
      <w:pPr>
        <w:pStyle w:val="Normal"/>
        <w:rPr>
          <w:sz w:val="24"/>
          <w:szCs w:val="24"/>
        </w:rPr>
      </w:pPr>
      <w:r>
        <w:rPr>
          <w:sz w:val="24"/>
          <w:szCs w:val="24"/>
        </w:rPr>
      </w:r>
    </w:p>
    <w:p>
      <w:pPr>
        <w:pStyle w:val="Normal"/>
        <w:numPr>
          <w:ilvl w:val="0"/>
          <w:numId w:val="0"/>
        </w:numPr>
        <w:jc w:val="center"/>
        <w:outlineLvl w:val="0"/>
        <w:rPr>
          <w:b/>
          <w:bCs/>
          <w:sz w:val="24"/>
          <w:szCs w:val="24"/>
        </w:rPr>
      </w:pPr>
      <w:r>
        <w:rPr>
          <w:b/>
          <w:bCs/>
          <w:sz w:val="24"/>
          <w:szCs w:val="24"/>
        </w:rPr>
        <w:t>ПОДПИСИ СТОРОН:</w:t>
      </w:r>
    </w:p>
    <w:p>
      <w:pPr>
        <w:pStyle w:val="Normal"/>
        <w:numPr>
          <w:ilvl w:val="0"/>
          <w:numId w:val="0"/>
        </w:numPr>
        <w:jc w:val="center"/>
        <w:outlineLvl w:val="0"/>
        <w:rPr>
          <w:bCs/>
          <w:sz w:val="24"/>
          <w:szCs w:val="24"/>
        </w:rPr>
      </w:pPr>
      <w:r>
        <w:rPr>
          <w:bCs/>
          <w:sz w:val="24"/>
          <w:szCs w:val="24"/>
        </w:rPr>
      </w:r>
    </w:p>
    <w:tbl>
      <w:tblPr>
        <w:tblW w:w="10346" w:type="dxa"/>
        <w:jc w:val="left"/>
        <w:tblInd w:w="-176" w:type="dxa"/>
        <w:tblLayout w:type="fixed"/>
        <w:tblCellMar>
          <w:top w:w="0" w:type="dxa"/>
          <w:left w:w="108" w:type="dxa"/>
          <w:bottom w:w="0" w:type="dxa"/>
          <w:right w:w="108" w:type="dxa"/>
        </w:tblCellMar>
        <w:tblLook w:noVBand="1" w:val="04a0" w:noHBand="0" w:lastColumn="0" w:firstColumn="1" w:lastRow="0" w:firstRow="1"/>
      </w:tblPr>
      <w:tblGrid>
        <w:gridCol w:w="5217"/>
        <w:gridCol w:w="5128"/>
      </w:tblGrid>
      <w:tr>
        <w:trPr/>
        <w:tc>
          <w:tcPr>
            <w:tcW w:w="5217" w:type="dxa"/>
            <w:tcBorders/>
            <w:shd w:color="auto" w:fill="auto" w:val="clear"/>
          </w:tcPr>
          <w:p>
            <w:pPr>
              <w:pStyle w:val="Normal"/>
              <w:widowControl w:val="false"/>
              <w:rPr>
                <w:b/>
                <w:sz w:val="24"/>
                <w:szCs w:val="24"/>
              </w:rPr>
            </w:pPr>
            <w:r>
              <w:rPr>
                <w:b/>
                <w:sz w:val="24"/>
                <w:szCs w:val="24"/>
              </w:rPr>
              <w:t>Покупатель:</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_____________________/А.Г. Бяков</w:t>
            </w:r>
          </w:p>
          <w:p>
            <w:pPr>
              <w:pStyle w:val="Normal"/>
              <w:widowControl w:val="false"/>
              <w:rPr>
                <w:sz w:val="24"/>
                <w:szCs w:val="24"/>
              </w:rPr>
            </w:pPr>
            <w:r>
              <w:rPr>
                <w:sz w:val="24"/>
                <w:szCs w:val="24"/>
              </w:rPr>
            </w:r>
          </w:p>
        </w:tc>
        <w:tc>
          <w:tcPr>
            <w:tcW w:w="5128" w:type="dxa"/>
            <w:tcBorders/>
            <w:shd w:color="auto" w:fill="auto" w:val="clear"/>
          </w:tcPr>
          <w:p>
            <w:pPr>
              <w:pStyle w:val="Normal"/>
              <w:widowControl w:val="false"/>
              <w:ind w:firstLine="34"/>
              <w:rPr>
                <w:b/>
                <w:sz w:val="24"/>
                <w:szCs w:val="24"/>
              </w:rPr>
            </w:pPr>
            <w:r>
              <w:rPr>
                <w:b/>
                <w:sz w:val="24"/>
                <w:szCs w:val="24"/>
              </w:rPr>
              <w:t>Поставщик:</w:t>
            </w:r>
          </w:p>
          <w:p>
            <w:pPr>
              <w:pStyle w:val="Normal"/>
              <w:widowControl w:val="false"/>
              <w:rPr>
                <w:sz w:val="24"/>
                <w:szCs w:val="24"/>
              </w:rPr>
            </w:pPr>
            <w:r>
              <w:rPr>
                <w:sz w:val="24"/>
                <w:szCs w:val="24"/>
              </w:rPr>
            </w:r>
          </w:p>
          <w:p>
            <w:pPr>
              <w:pStyle w:val="Normal"/>
              <w:widowControl w:val="false"/>
              <w:rPr>
                <w:sz w:val="24"/>
                <w:szCs w:val="24"/>
                <w:lang w:val="en-US"/>
              </w:rPr>
            </w:pPr>
            <w:r>
              <w:rPr>
                <w:sz w:val="24"/>
                <w:szCs w:val="24"/>
              </w:rPr>
              <w:t>_____________________/</w:t>
            </w:r>
            <w:r>
              <w:rPr>
                <w:sz w:val="24"/>
                <w:szCs w:val="24"/>
                <w:lang w:val="en-US"/>
              </w:rPr>
              <w:t>___________</w:t>
            </w:r>
          </w:p>
          <w:p>
            <w:pPr>
              <w:pStyle w:val="Normal"/>
              <w:widowControl w:val="false"/>
              <w:ind w:firstLine="33"/>
              <w:rPr>
                <w:b/>
                <w:sz w:val="24"/>
                <w:szCs w:val="24"/>
              </w:rPr>
            </w:pPr>
            <w:r>
              <w:rPr>
                <w:b/>
                <w:sz w:val="24"/>
                <w:szCs w:val="24"/>
              </w:rPr>
            </w:r>
          </w:p>
        </w:tc>
      </w:tr>
    </w:tbl>
    <w:p>
      <w:pPr>
        <w:pStyle w:val="Normal"/>
        <w:rPr>
          <w:b/>
          <w:bCs/>
          <w:sz w:val="24"/>
          <w:szCs w:val="24"/>
        </w:rPr>
      </w:pPr>
      <w:r>
        <w:rPr>
          <w:b/>
          <w:bCs/>
          <w:sz w:val="24"/>
          <w:szCs w:val="24"/>
        </w:rPr>
      </w:r>
    </w:p>
    <w:p>
      <w:pPr>
        <w:pStyle w:val="Normal"/>
        <w:rPr/>
      </w:pPr>
      <w:r>
        <w:rPr/>
      </w:r>
    </w:p>
    <w:p>
      <w:pPr>
        <w:pStyle w:val="Normal"/>
        <w:rPr/>
      </w:pPr>
      <w:r>
        <w:rPr/>
      </w:r>
    </w:p>
    <w:p>
      <w:pPr>
        <w:pStyle w:val="Normal"/>
        <w:rPr/>
      </w:pPr>
      <w:r>
        <w:rPr/>
      </w:r>
    </w:p>
    <w:p>
      <w:pPr>
        <w:pStyle w:val="ListParagraph"/>
        <w:ind w:left="0" w:hanging="0"/>
        <w:jc w:val="both"/>
        <w:rPr>
          <w:bCs/>
        </w:rPr>
      </w:pPr>
      <w:r>
        <w:rPr>
          <w:bCs/>
        </w:rPr>
      </w:r>
    </w:p>
    <w:p>
      <w:pPr>
        <w:pStyle w:val="ListParagraph"/>
        <w:ind w:left="0" w:hanging="0"/>
        <w:jc w:val="both"/>
        <w:rPr>
          <w:bCs/>
        </w:rPr>
      </w:pPr>
      <w:r>
        <w:rPr>
          <w:bCs/>
        </w:rPr>
      </w:r>
    </w:p>
    <w:p>
      <w:pPr>
        <w:pStyle w:val="ListParagraph"/>
        <w:ind w:left="0" w:hanging="0"/>
        <w:jc w:val="both"/>
        <w:rPr>
          <w:bCs/>
        </w:rPr>
      </w:pPr>
      <w:r>
        <w:rPr>
          <w:bCs/>
        </w:rPr>
      </w:r>
    </w:p>
    <w:p>
      <w:pPr>
        <w:pStyle w:val="ListParagraph"/>
        <w:ind w:left="0" w:hanging="0"/>
        <w:jc w:val="both"/>
        <w:rPr>
          <w:bCs/>
        </w:rPr>
      </w:pPr>
      <w:r>
        <w:rPr>
          <w:bCs/>
        </w:rPr>
      </w:r>
    </w:p>
    <w:p>
      <w:pPr>
        <w:pStyle w:val="ListParagraph"/>
        <w:ind w:left="0" w:hanging="0"/>
        <w:jc w:val="both"/>
        <w:rPr>
          <w:bCs/>
        </w:rPr>
      </w:pPr>
      <w:r>
        <w:rPr>
          <w:bCs/>
        </w:rPr>
      </w:r>
    </w:p>
    <w:p>
      <w:pPr>
        <w:pStyle w:val="ListParagraph"/>
        <w:ind w:left="0" w:hanging="0"/>
        <w:jc w:val="both"/>
        <w:rPr>
          <w:bCs/>
        </w:rPr>
      </w:pPr>
      <w:r>
        <w:rPr>
          <w:bCs/>
        </w:rPr>
      </w:r>
    </w:p>
    <w:p>
      <w:pPr>
        <w:pStyle w:val="Normal"/>
        <w:ind w:left="5103" w:hanging="0"/>
        <w:jc w:val="right"/>
        <w:rPr>
          <w:sz w:val="22"/>
          <w:szCs w:val="22"/>
        </w:rPr>
      </w:pPr>
      <w:r>
        <w:rPr>
          <w:sz w:val="22"/>
          <w:szCs w:val="22"/>
        </w:rPr>
        <w:t>Приложение № 4</w:t>
      </w:r>
    </w:p>
    <w:p>
      <w:pPr>
        <w:pStyle w:val="Normal"/>
        <w:ind w:left="5103" w:hanging="0"/>
        <w:jc w:val="right"/>
        <w:rPr>
          <w:sz w:val="22"/>
          <w:szCs w:val="22"/>
        </w:rPr>
      </w:pPr>
      <w:r>
        <w:rPr>
          <w:sz w:val="22"/>
          <w:szCs w:val="22"/>
        </w:rPr>
        <w:t>к Договору поставки</w:t>
      </w:r>
    </w:p>
    <w:p>
      <w:pPr>
        <w:pStyle w:val="Normal"/>
        <w:ind w:left="5103" w:hanging="0"/>
        <w:jc w:val="right"/>
        <w:rPr>
          <w:sz w:val="22"/>
          <w:szCs w:val="22"/>
        </w:rPr>
      </w:pPr>
      <w:r>
        <w:rPr>
          <w:sz w:val="22"/>
          <w:szCs w:val="22"/>
        </w:rPr>
        <w:t xml:space="preserve">от «____» _______2026 г. № _________ </w:t>
      </w:r>
    </w:p>
    <w:p>
      <w:pPr>
        <w:pStyle w:val="Normal"/>
        <w:jc w:val="center"/>
        <w:rPr>
          <w:b/>
          <w:sz w:val="24"/>
          <w:szCs w:val="24"/>
        </w:rPr>
      </w:pPr>
      <w:r>
        <w:rPr>
          <w:b/>
          <w:sz w:val="24"/>
          <w:szCs w:val="24"/>
        </w:rPr>
      </w:r>
    </w:p>
    <w:p>
      <w:pPr>
        <w:pStyle w:val="Normal"/>
        <w:jc w:val="center"/>
        <w:rPr>
          <w:b/>
          <w:sz w:val="24"/>
          <w:szCs w:val="24"/>
        </w:rPr>
      </w:pPr>
      <w:r>
        <w:rPr>
          <w:b/>
          <w:sz w:val="24"/>
          <w:szCs w:val="24"/>
        </w:rPr>
      </w:r>
    </w:p>
    <w:p>
      <w:pPr>
        <w:pStyle w:val="Normal"/>
        <w:jc w:val="center"/>
        <w:rPr>
          <w:b/>
          <w:sz w:val="24"/>
          <w:szCs w:val="24"/>
        </w:rPr>
      </w:pPr>
      <w:r>
        <w:rPr>
          <w:b/>
          <w:sz w:val="24"/>
          <w:szCs w:val="24"/>
        </w:rPr>
        <w:t xml:space="preserve">Календарный график поставки Товара </w:t>
      </w:r>
    </w:p>
    <w:p>
      <w:pPr>
        <w:pStyle w:val="Normal"/>
        <w:suppressAutoHyphens w:val="false"/>
        <w:rPr>
          <w:sz w:val="24"/>
          <w:szCs w:val="24"/>
        </w:rPr>
      </w:pPr>
      <w:r>
        <w:rPr>
          <w:sz w:val="24"/>
          <w:szCs w:val="24"/>
        </w:rPr>
      </w:r>
    </w:p>
    <w:p>
      <w:pPr>
        <w:pStyle w:val="Normal"/>
        <w:suppressAutoHyphens w:val="false"/>
        <w:rPr>
          <w:sz w:val="24"/>
          <w:szCs w:val="24"/>
        </w:rPr>
      </w:pPr>
      <w:r>
        <w:rPr>
          <w:sz w:val="24"/>
          <w:szCs w:val="24"/>
        </w:rPr>
      </w:r>
    </w:p>
    <w:tbl>
      <w:tblPr>
        <w:tblW w:w="9918"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707"/>
        <w:gridCol w:w="1839"/>
        <w:gridCol w:w="1843"/>
        <w:gridCol w:w="1844"/>
        <w:gridCol w:w="1134"/>
        <w:gridCol w:w="1196"/>
        <w:gridCol w:w="1354"/>
      </w:tblGrid>
      <w:tr>
        <w:trPr>
          <w:trHeight w:val="1150" w:hRule="atLeast"/>
        </w:trPr>
        <w:tc>
          <w:tcPr>
            <w:tcW w:w="7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jc w:val="center"/>
              <w:rPr>
                <w:sz w:val="24"/>
                <w:szCs w:val="24"/>
              </w:rPr>
            </w:pPr>
            <w:r>
              <w:rPr>
                <w:sz w:val="24"/>
                <w:szCs w:val="24"/>
              </w:rPr>
              <w:t xml:space="preserve">№ </w:t>
            </w:r>
            <w:r>
              <w:rPr>
                <w:sz w:val="24"/>
                <w:szCs w:val="24"/>
              </w:rPr>
              <w:t xml:space="preserve">партии </w:t>
            </w:r>
          </w:p>
        </w:tc>
        <w:tc>
          <w:tcPr>
            <w:tcW w:w="18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jc w:val="center"/>
              <w:rPr>
                <w:sz w:val="24"/>
                <w:szCs w:val="24"/>
              </w:rPr>
            </w:pPr>
            <w:r>
              <w:rPr>
                <w:sz w:val="24"/>
                <w:szCs w:val="24"/>
              </w:rPr>
              <w:t>Наименование Товара (партии Товара)</w:t>
            </w:r>
          </w:p>
        </w:tc>
        <w:tc>
          <w:tcPr>
            <w:tcW w:w="18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jc w:val="center"/>
              <w:rPr>
                <w:sz w:val="24"/>
                <w:szCs w:val="24"/>
              </w:rPr>
            </w:pPr>
            <w:r>
              <w:rPr>
                <w:sz w:val="24"/>
                <w:szCs w:val="24"/>
              </w:rPr>
              <w:t xml:space="preserve">Обоснование стоимости, пункт Спецификации </w:t>
            </w:r>
          </w:p>
        </w:tc>
        <w:tc>
          <w:tcPr>
            <w:tcW w:w="184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jc w:val="center"/>
              <w:rPr>
                <w:sz w:val="24"/>
                <w:szCs w:val="24"/>
              </w:rPr>
            </w:pPr>
            <w:r>
              <w:rPr>
                <w:sz w:val="24"/>
                <w:szCs w:val="24"/>
              </w:rPr>
              <w:t>Дата поставки Товара</w:t>
            </w:r>
          </w:p>
          <w:p>
            <w:pPr>
              <w:pStyle w:val="Normal"/>
              <w:widowControl w:val="false"/>
              <w:suppressAutoHyphens w:val="false"/>
              <w:jc w:val="center"/>
              <w:rPr>
                <w:sz w:val="24"/>
                <w:szCs w:val="24"/>
              </w:rPr>
            </w:pPr>
            <w:r>
              <w:rPr>
                <w:sz w:val="24"/>
                <w:szCs w:val="24"/>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jc w:val="center"/>
              <w:rPr>
                <w:sz w:val="24"/>
                <w:szCs w:val="24"/>
              </w:rPr>
            </w:pPr>
            <w:r>
              <w:rPr>
                <w:sz w:val="24"/>
                <w:szCs w:val="24"/>
              </w:rPr>
              <w:t>Цена, руб. без НДС</w:t>
            </w:r>
          </w:p>
        </w:tc>
        <w:tc>
          <w:tcPr>
            <w:tcW w:w="11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jc w:val="center"/>
              <w:rPr>
                <w:sz w:val="24"/>
                <w:szCs w:val="24"/>
              </w:rPr>
            </w:pPr>
            <w:r>
              <w:rPr>
                <w:sz w:val="24"/>
                <w:szCs w:val="24"/>
              </w:rPr>
              <w:t>Сумма НДС (22 %), руб.</w:t>
            </w:r>
          </w:p>
        </w:tc>
        <w:tc>
          <w:tcPr>
            <w:tcW w:w="13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jc w:val="center"/>
              <w:rPr>
                <w:sz w:val="24"/>
                <w:szCs w:val="24"/>
              </w:rPr>
            </w:pPr>
            <w:r>
              <w:rPr>
                <w:sz w:val="24"/>
                <w:szCs w:val="24"/>
              </w:rPr>
              <w:t>Стоимость партии, руб. с НДС</w:t>
            </w:r>
          </w:p>
        </w:tc>
      </w:tr>
      <w:tr>
        <w:trPr/>
        <w:tc>
          <w:tcPr>
            <w:tcW w:w="70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center"/>
              <w:rPr>
                <w:sz w:val="24"/>
                <w:szCs w:val="24"/>
              </w:rPr>
            </w:pPr>
            <w:r>
              <w:rPr>
                <w:sz w:val="24"/>
                <w:szCs w:val="24"/>
              </w:rPr>
              <w:t>1.</w:t>
            </w:r>
          </w:p>
        </w:tc>
        <w:tc>
          <w:tcPr>
            <w:tcW w:w="18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8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1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35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r>
      <w:tr>
        <w:trPr/>
        <w:tc>
          <w:tcPr>
            <w:tcW w:w="70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center"/>
              <w:rPr>
                <w:sz w:val="24"/>
                <w:szCs w:val="24"/>
              </w:rPr>
            </w:pPr>
            <w:r>
              <w:rPr>
                <w:sz w:val="24"/>
                <w:szCs w:val="24"/>
              </w:rPr>
              <w:t>2.</w:t>
            </w:r>
          </w:p>
        </w:tc>
        <w:tc>
          <w:tcPr>
            <w:tcW w:w="18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8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1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35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r>
      <w:tr>
        <w:trPr/>
        <w:tc>
          <w:tcPr>
            <w:tcW w:w="70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center"/>
              <w:rPr>
                <w:sz w:val="24"/>
                <w:szCs w:val="24"/>
              </w:rPr>
            </w:pPr>
            <w:r>
              <w:rPr>
                <w:sz w:val="24"/>
                <w:szCs w:val="24"/>
              </w:rPr>
              <w:t>3.</w:t>
            </w:r>
          </w:p>
        </w:tc>
        <w:tc>
          <w:tcPr>
            <w:tcW w:w="18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8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1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35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r>
      <w:tr>
        <w:trPr/>
        <w:tc>
          <w:tcPr>
            <w:tcW w:w="8563" w:type="dxa"/>
            <w:gridSpan w:val="6"/>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right"/>
              <w:rPr>
                <w:b/>
                <w:sz w:val="24"/>
                <w:szCs w:val="24"/>
              </w:rPr>
            </w:pPr>
            <w:r>
              <w:rPr>
                <w:b/>
                <w:sz w:val="24"/>
                <w:szCs w:val="24"/>
              </w:rPr>
              <w:t>Всего по Договору:</w:t>
            </w:r>
          </w:p>
        </w:tc>
        <w:tc>
          <w:tcPr>
            <w:tcW w:w="135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r>
    </w:tbl>
    <w:p>
      <w:pPr>
        <w:pStyle w:val="Normal"/>
        <w:suppressAutoHyphens w:val="false"/>
        <w:rPr>
          <w:sz w:val="24"/>
          <w:szCs w:val="24"/>
        </w:rPr>
      </w:pPr>
      <w:r>
        <w:rPr>
          <w:sz w:val="24"/>
          <w:szCs w:val="24"/>
        </w:rPr>
      </w:r>
    </w:p>
    <w:p>
      <w:pPr>
        <w:pStyle w:val="Normal"/>
        <w:suppressAutoHyphens w:val="false"/>
        <w:rPr>
          <w:sz w:val="24"/>
          <w:szCs w:val="24"/>
        </w:rPr>
      </w:pPr>
      <w:r>
        <w:rPr>
          <w:sz w:val="24"/>
          <w:szCs w:val="24"/>
        </w:rPr>
      </w:r>
    </w:p>
    <w:p>
      <w:pPr>
        <w:pStyle w:val="Normal"/>
        <w:suppressAutoHyphens w:val="false"/>
        <w:rPr>
          <w:sz w:val="24"/>
          <w:szCs w:val="24"/>
        </w:rPr>
      </w:pPr>
      <w:r>
        <w:rPr>
          <w:sz w:val="24"/>
          <w:szCs w:val="24"/>
        </w:rPr>
      </w:r>
    </w:p>
    <w:p>
      <w:pPr>
        <w:pStyle w:val="Normal"/>
        <w:tabs>
          <w:tab w:val="clear" w:pos="708"/>
          <w:tab w:val="left" w:pos="4860" w:leader="none"/>
        </w:tabs>
        <w:rPr>
          <w:b/>
          <w:sz w:val="24"/>
          <w:szCs w:val="24"/>
        </w:rPr>
      </w:pPr>
      <w:r>
        <w:rPr>
          <w:b/>
          <w:sz w:val="24"/>
          <w:szCs w:val="24"/>
        </w:rPr>
      </w:r>
    </w:p>
    <w:p>
      <w:pPr>
        <w:pStyle w:val="Normal"/>
        <w:suppressAutoHyphens w:val="false"/>
        <w:rPr>
          <w:sz w:val="24"/>
          <w:szCs w:val="24"/>
        </w:rPr>
      </w:pPr>
      <w:r>
        <w:rPr>
          <w:sz w:val="24"/>
          <w:szCs w:val="24"/>
        </w:rPr>
      </w:r>
    </w:p>
    <w:p>
      <w:pPr>
        <w:pStyle w:val="Normal"/>
        <w:suppressAutoHyphens w:val="false"/>
        <w:rPr>
          <w:sz w:val="24"/>
          <w:szCs w:val="24"/>
        </w:rPr>
      </w:pPr>
      <w:r>
        <w:rPr>
          <w:sz w:val="24"/>
          <w:szCs w:val="24"/>
        </w:rPr>
      </w:r>
    </w:p>
    <w:p>
      <w:pPr>
        <w:pStyle w:val="Normal"/>
        <w:numPr>
          <w:ilvl w:val="0"/>
          <w:numId w:val="0"/>
        </w:numPr>
        <w:suppressAutoHyphens w:val="false"/>
        <w:jc w:val="center"/>
        <w:outlineLvl w:val="0"/>
        <w:rPr>
          <w:b/>
          <w:bCs/>
          <w:sz w:val="24"/>
          <w:szCs w:val="24"/>
        </w:rPr>
      </w:pPr>
      <w:r>
        <w:rPr>
          <w:b/>
          <w:bCs/>
          <w:sz w:val="24"/>
          <w:szCs w:val="24"/>
        </w:rPr>
        <w:t>ПОДПИСИ СТОРОН:</w:t>
      </w:r>
    </w:p>
    <w:p>
      <w:pPr>
        <w:pStyle w:val="Normal"/>
        <w:numPr>
          <w:ilvl w:val="0"/>
          <w:numId w:val="0"/>
        </w:numPr>
        <w:suppressAutoHyphens w:val="false"/>
        <w:jc w:val="center"/>
        <w:outlineLvl w:val="0"/>
        <w:rPr>
          <w:bCs/>
          <w:sz w:val="24"/>
          <w:szCs w:val="24"/>
        </w:rPr>
      </w:pPr>
      <w:r>
        <w:rPr>
          <w:bCs/>
          <w:sz w:val="24"/>
          <w:szCs w:val="24"/>
        </w:rPr>
      </w:r>
    </w:p>
    <w:tbl>
      <w:tblPr>
        <w:tblW w:w="10099" w:type="dxa"/>
        <w:jc w:val="left"/>
        <w:tblInd w:w="-176" w:type="dxa"/>
        <w:tblLayout w:type="fixed"/>
        <w:tblCellMar>
          <w:top w:w="0" w:type="dxa"/>
          <w:left w:w="108" w:type="dxa"/>
          <w:bottom w:w="0" w:type="dxa"/>
          <w:right w:w="108" w:type="dxa"/>
        </w:tblCellMar>
        <w:tblLook w:noVBand="1" w:val="04a0" w:noHBand="0" w:lastColumn="0" w:firstColumn="1" w:lastRow="0" w:firstRow="1"/>
      </w:tblPr>
      <w:tblGrid>
        <w:gridCol w:w="4994"/>
        <w:gridCol w:w="5104"/>
      </w:tblGrid>
      <w:tr>
        <w:trPr/>
        <w:tc>
          <w:tcPr>
            <w:tcW w:w="4994" w:type="dxa"/>
            <w:tcBorders/>
            <w:shd w:color="auto" w:fill="auto" w:val="clear"/>
          </w:tcPr>
          <w:p>
            <w:pPr>
              <w:pStyle w:val="Normal"/>
              <w:widowControl w:val="false"/>
              <w:suppressAutoHyphens w:val="false"/>
              <w:rPr>
                <w:b/>
                <w:sz w:val="24"/>
                <w:szCs w:val="24"/>
              </w:rPr>
            </w:pPr>
            <w:r>
              <w:rPr>
                <w:b/>
                <w:sz w:val="24"/>
                <w:szCs w:val="24"/>
              </w:rPr>
              <w:t>Покупатель:</w:t>
            </w:r>
          </w:p>
          <w:p>
            <w:pPr>
              <w:pStyle w:val="Normal"/>
              <w:widowControl w:val="false"/>
              <w:suppressAutoHyphens w:val="false"/>
              <w:rPr>
                <w:sz w:val="24"/>
                <w:szCs w:val="24"/>
              </w:rPr>
            </w:pPr>
            <w:r>
              <w:rPr>
                <w:sz w:val="24"/>
                <w:szCs w:val="24"/>
              </w:rPr>
            </w:r>
          </w:p>
          <w:p>
            <w:pPr>
              <w:pStyle w:val="Normal"/>
              <w:widowControl w:val="false"/>
              <w:suppressAutoHyphens w:val="false"/>
              <w:rPr>
                <w:sz w:val="24"/>
                <w:szCs w:val="24"/>
              </w:rPr>
            </w:pPr>
            <w:r>
              <w:rPr>
                <w:sz w:val="24"/>
                <w:szCs w:val="24"/>
              </w:rPr>
              <w:t>_____________________/ А.Г. Бяков</w:t>
            </w:r>
          </w:p>
          <w:p>
            <w:pPr>
              <w:pStyle w:val="Normal"/>
              <w:widowControl w:val="false"/>
              <w:suppressAutoHyphens w:val="false"/>
              <w:rPr>
                <w:sz w:val="24"/>
                <w:szCs w:val="24"/>
              </w:rPr>
            </w:pPr>
            <w:r>
              <w:rPr>
                <w:sz w:val="24"/>
                <w:szCs w:val="24"/>
              </w:rPr>
            </w:r>
          </w:p>
        </w:tc>
        <w:tc>
          <w:tcPr>
            <w:tcW w:w="5104" w:type="dxa"/>
            <w:tcBorders/>
            <w:shd w:color="auto" w:fill="auto" w:val="clear"/>
          </w:tcPr>
          <w:p>
            <w:pPr>
              <w:pStyle w:val="Normal"/>
              <w:widowControl w:val="false"/>
              <w:suppressAutoHyphens w:val="false"/>
              <w:ind w:firstLine="34"/>
              <w:rPr>
                <w:b/>
                <w:sz w:val="24"/>
                <w:szCs w:val="24"/>
              </w:rPr>
            </w:pPr>
            <w:r>
              <w:rPr>
                <w:b/>
                <w:sz w:val="24"/>
                <w:szCs w:val="24"/>
              </w:rPr>
              <w:t>Поставщик:</w:t>
            </w:r>
          </w:p>
          <w:p>
            <w:pPr>
              <w:pStyle w:val="Normal"/>
              <w:widowControl w:val="false"/>
              <w:suppressAutoHyphens w:val="false"/>
              <w:rPr>
                <w:sz w:val="24"/>
                <w:szCs w:val="24"/>
              </w:rPr>
            </w:pPr>
            <w:r>
              <w:rPr>
                <w:sz w:val="24"/>
                <w:szCs w:val="24"/>
              </w:rPr>
            </w:r>
          </w:p>
          <w:p>
            <w:pPr>
              <w:pStyle w:val="Normal"/>
              <w:widowControl w:val="false"/>
              <w:suppressAutoHyphens w:val="false"/>
              <w:rPr>
                <w:sz w:val="24"/>
                <w:szCs w:val="24"/>
              </w:rPr>
            </w:pPr>
            <w:r>
              <w:rPr>
                <w:sz w:val="24"/>
                <w:szCs w:val="24"/>
              </w:rPr>
              <w:t>_____________________/_____________</w:t>
            </w:r>
          </w:p>
          <w:p>
            <w:pPr>
              <w:pStyle w:val="Normal"/>
              <w:widowControl w:val="false"/>
              <w:suppressAutoHyphens w:val="false"/>
              <w:ind w:firstLine="33"/>
              <w:rPr>
                <w:b/>
                <w:sz w:val="24"/>
                <w:szCs w:val="24"/>
              </w:rPr>
            </w:pPr>
            <w:r>
              <w:rPr>
                <w:b/>
                <w:sz w:val="24"/>
                <w:szCs w:val="24"/>
              </w:rPr>
            </w:r>
          </w:p>
        </w:tc>
      </w:tr>
    </w:tbl>
    <w:p>
      <w:pPr>
        <w:pStyle w:val="ListParagraph"/>
        <w:ind w:left="0" w:hanging="0"/>
        <w:jc w:val="both"/>
        <w:rPr>
          <w:bCs/>
        </w:rPr>
      </w:pPr>
      <w:r>
        <w:rPr>
          <w:bCs/>
        </w:rPr>
      </w:r>
    </w:p>
    <w:p>
      <w:pPr>
        <w:pStyle w:val="Normal"/>
        <w:rPr/>
      </w:pPr>
      <w:r>
        <w:rPr/>
      </w:r>
    </w:p>
    <w:p>
      <w:pPr>
        <w:pStyle w:val="Normal"/>
        <w:rPr/>
      </w:pPr>
      <w:r>
        <w:rPr/>
      </w:r>
    </w:p>
    <w:p>
      <w:pPr>
        <w:pStyle w:val="Normal"/>
        <w:rPr/>
      </w:pPr>
      <w:r>
        <w:rPr/>
      </w:r>
    </w:p>
    <w:sectPr>
      <w:headerReference w:type="default" r:id="rId20"/>
      <w:headerReference w:type="first" r:id="rId21"/>
      <w:footerReference w:type="default" r:id="rId22"/>
      <w:footerReference w:type="first" r:id="rId23"/>
      <w:footnotePr>
        <w:numFmt w:val="decimal"/>
      </w:footnotePr>
      <w:type w:val="nextPage"/>
      <w:pgSz w:w="11906" w:h="16838"/>
      <w:pgMar w:left="1418" w:right="851" w:gutter="0" w:header="709" w:top="1134" w:footer="709"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Calibri Light">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swiss"/>
    <w:pitch w:val="variable"/>
  </w:font>
  <w:font w:name="Courier New">
    <w:charset w:val="01"/>
    <w:family w:val="roman"/>
    <w:pitch w:val="variable"/>
  </w:font>
  <w:font w:name="Verdana">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17</w:t>
    </w:r>
    <w:r>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13</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17</w:t>
    </w:r>
    <w:r>
      <w:rPr/>
      <w:fldChar w:fldCharType="end"/>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18</w:t>
    </w:r>
    <w:r>
      <w:rPr/>
      <w:fldChar w:fldCharType="end"/>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20</w:t>
    </w:r>
    <w:r>
      <w:rPr>
        <w:sz w:val="22"/>
        <w:szCs w:val="22"/>
      </w:rPr>
      <w:fldChar w:fldCharType="end"/>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15"/>
        </w:rPr>
        <w:footnoteRef/>
      </w:r>
      <w:r>
        <w:rPr/>
        <w:t xml:space="preserve"> </w:t>
      </w:r>
      <w:r>
        <w:rPr/>
        <w:t>В случае если Контрагент – МСП, при этом Заказчик попадает под действие постановления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
    <w:p>
      <w:pPr>
        <w:pStyle w:val="FootnoteText"/>
        <w:jc w:val="both"/>
        <w:rPr/>
      </w:pPr>
      <w:r>
        <w:rPr>
          <w:rStyle w:val="Style15"/>
        </w:rPr>
        <w:footnoteRef/>
      </w:r>
      <w:r>
        <w:rPr/>
        <w:t xml:space="preserve"> </w:t>
      </w:r>
      <w:r>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Pr/>
        <w:t>.</w:t>
      </w:r>
    </w:p>
  </w:footnote>
  <w:footnote w:id="4">
    <w:p>
      <w:pPr>
        <w:pStyle w:val="FootnoteText"/>
        <w:jc w:val="both"/>
        <w:rPr/>
      </w:pPr>
      <w:r>
        <w:rPr>
          <w:rStyle w:val="Style15"/>
        </w:rPr>
        <w:footnoteRef/>
      </w:r>
      <w:r>
        <w:rPr/>
        <w:t xml:space="preserve"> </w:t>
      </w:r>
      <w:r>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1875" w:leader="none"/>
        <w:tab w:val="right" w:pos="8306" w:leader="none"/>
      </w:tabs>
      <w:jc w:val="right"/>
      <w:rPr/>
    </w:pPr>
    <w:r>
      <w:rPr/>
      <w:tab/>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1875" w:leader="none"/>
        <w:tab w:val="right" w:pos="8306" w:leader="none"/>
      </w:tabs>
      <w:jc w:val="right"/>
      <w:rPr/>
    </w:pPr>
    <w:r>
      <w:rPr/>
      <w:tab/>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1875" w:leader="none"/>
        <w:tab w:val="right" w:pos="8306" w:leader="none"/>
      </w:tabs>
      <w:jc w:val="right"/>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1875" w:leader="none"/>
        <w:tab w:val="right" w:pos="8306" w:leader="none"/>
      </w:tabs>
      <w:jc w:val="right"/>
      <w:rPr/>
    </w:pPr>
    <w:r>
      <w:rPr/>
      <w:tab/>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360"/>
        </w:tabs>
        <w:ind w:left="360" w:hanging="360"/>
      </w:pPr>
      <w:rPr/>
    </w:lvl>
    <w:lvl w:ilvl="1">
      <w:start w:val="1"/>
      <w:numFmt w:val="decimal"/>
      <w:lvlText w:val="%1.%2."/>
      <w:lvlJc w:val="left"/>
      <w:pPr>
        <w:tabs>
          <w:tab w:val="num" w:pos="1425"/>
        </w:tabs>
        <w:ind w:left="1425" w:hanging="432"/>
      </w:pPr>
      <w:rPr>
        <w:sz w:val="24"/>
        <w:b w:val="false"/>
        <w:szCs w:val="24"/>
      </w:rPr>
    </w:lvl>
    <w:lvl w:ilvl="2">
      <w:start w:val="1"/>
      <w:numFmt w:val="decimal"/>
      <w:lvlText w:val="%1.%2.%3."/>
      <w:lvlJc w:val="left"/>
      <w:pPr>
        <w:tabs>
          <w:tab w:val="num" w:pos="1440"/>
        </w:tabs>
        <w:ind w:left="1224" w:hanging="504"/>
      </w:pPr>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3">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10"/>
  <w:trackRevisions/>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documentProtection w:edit="trackedChanges" w:enforcement="1"/>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86f70"/>
    <w:pPr>
      <w:widowControl w:val="false"/>
      <w:suppressAutoHyphens w:val="true"/>
      <w:bidi w:val="0"/>
      <w:spacing w:before="0" w:after="0"/>
      <w:jc w:val="left"/>
    </w:pPr>
    <w:rPr>
      <w:rFonts w:ascii="Times New Roman" w:hAnsi="Times New Roman" w:eastAsia="Times New Roman" w:cs="Times New Roman"/>
      <w:color w:val="auto"/>
      <w:kern w:val="0"/>
      <w:sz w:val="20"/>
      <w:szCs w:val="20"/>
      <w:lang w:eastAsia="ru-RU" w:val="ru-RU" w:bidi="ar-SA"/>
    </w:rPr>
  </w:style>
  <w:style w:type="paragraph" w:styleId="Heading1">
    <w:name w:val="Heading 1"/>
    <w:basedOn w:val="Normal"/>
    <w:next w:val="Normal"/>
    <w:link w:val="1"/>
    <w:qFormat/>
    <w:rsid w:val="00886f70"/>
    <w:pPr>
      <w:keepNext w:val="true"/>
      <w:spacing w:before="240" w:after="60"/>
      <w:outlineLvl w:val="0"/>
    </w:pPr>
    <w:rPr>
      <w:rFonts w:ascii="Arial" w:hAnsi="Arial" w:cs="Arial"/>
      <w:b/>
      <w:bCs/>
      <w:kern w:val="2"/>
      <w:sz w:val="32"/>
      <w:szCs w:val="32"/>
    </w:rPr>
  </w:style>
  <w:style w:type="paragraph" w:styleId="Heading2">
    <w:name w:val="Heading 2"/>
    <w:basedOn w:val="Normal"/>
    <w:next w:val="Normal"/>
    <w:link w:val="22"/>
    <w:uiPriority w:val="9"/>
    <w:semiHidden/>
    <w:unhideWhenUsed/>
    <w:qFormat/>
    <w:rsid w:val="00370cfe"/>
    <w:pPr>
      <w:keepNext w:val="true"/>
      <w:keepLines/>
      <w:spacing w:before="40" w:after="0"/>
      <w:outlineLvl w:val="1"/>
    </w:pPr>
    <w:rPr>
      <w:rFonts w:ascii="Calibri Light" w:hAnsi="Calibri Light" w:eastAsia="" w:cs="" w:asciiTheme="majorHAnsi" w:cstheme="majorBidi" w:eastAsiaTheme="majorEastAsia" w:hAnsiTheme="majorHAnsi"/>
      <w:color w:val="2E74B5" w:themeColor="accent1" w:themeShade="bf"/>
      <w:sz w:val="26"/>
      <w:szCs w:val="26"/>
    </w:rPr>
  </w:style>
  <w:style w:type="paragraph" w:styleId="Heading3">
    <w:name w:val="Heading 3"/>
    <w:basedOn w:val="Normal"/>
    <w:next w:val="Normal"/>
    <w:link w:val="3"/>
    <w:qFormat/>
    <w:rsid w:val="00886f70"/>
    <w:pPr>
      <w:keepNext w:val="true"/>
      <w:keepLines/>
      <w:spacing w:before="200" w:after="0"/>
      <w:outlineLvl w:val="2"/>
    </w:pPr>
    <w:rPr>
      <w:rFonts w:ascii="Cambria" w:hAnsi="Cambria"/>
      <w:b/>
      <w:bCs/>
      <w:color w:val="4F81BD"/>
      <w:lang w:val="x-none" w:eastAsia="x-none"/>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886f70"/>
    <w:rPr>
      <w:rFonts w:ascii="Arial" w:hAnsi="Arial" w:eastAsia="Times New Roman" w:cs="Arial"/>
      <w:b/>
      <w:bCs/>
      <w:kern w:val="2"/>
      <w:sz w:val="32"/>
      <w:szCs w:val="32"/>
      <w:lang w:eastAsia="ru-RU"/>
    </w:rPr>
  </w:style>
  <w:style w:type="character" w:styleId="3" w:customStyle="1">
    <w:name w:val="Заголовок 3 Знак"/>
    <w:basedOn w:val="DefaultParagraphFont"/>
    <w:qFormat/>
    <w:rsid w:val="00886f70"/>
    <w:rPr>
      <w:rFonts w:ascii="Cambria" w:hAnsi="Cambria" w:eastAsia="Times New Roman" w:cs="Times New Roman"/>
      <w:b/>
      <w:bCs/>
      <w:color w:val="4F81BD"/>
      <w:sz w:val="20"/>
      <w:szCs w:val="20"/>
      <w:lang w:val="x-none" w:eastAsia="x-none"/>
    </w:rPr>
  </w:style>
  <w:style w:type="character" w:styleId="Style6" w:customStyle="1">
    <w:name w:val="Заголовок Знак"/>
    <w:basedOn w:val="DefaultParagraphFont"/>
    <w:qFormat/>
    <w:rsid w:val="00886f70"/>
    <w:rPr>
      <w:rFonts w:ascii="Times New Roman" w:hAnsi="Times New Roman" w:eastAsia="Times New Roman" w:cs="Times New Roman"/>
      <w:b/>
      <w:bCs/>
      <w:sz w:val="24"/>
      <w:szCs w:val="24"/>
      <w:lang w:eastAsia="ru-RU"/>
    </w:rPr>
  </w:style>
  <w:style w:type="character" w:styleId="2" w:customStyle="1">
    <w:name w:val="Основной текст с отступом 2 Знак"/>
    <w:basedOn w:val="DefaultParagraphFont"/>
    <w:link w:val="BodyTextIndent2"/>
    <w:qFormat/>
    <w:rsid w:val="00886f70"/>
    <w:rPr>
      <w:rFonts w:ascii="Times New Roman" w:hAnsi="Times New Roman" w:eastAsia="Times New Roman" w:cs="Times New Roman"/>
      <w:sz w:val="24"/>
      <w:szCs w:val="20"/>
      <w:lang w:eastAsia="ru-RU"/>
    </w:rPr>
  </w:style>
  <w:style w:type="character" w:styleId="Style7" w:customStyle="1">
    <w:name w:val="Текст выноски Знак"/>
    <w:basedOn w:val="DefaultParagraphFont"/>
    <w:link w:val="BalloonText"/>
    <w:semiHidden/>
    <w:qFormat/>
    <w:rsid w:val="00886f70"/>
    <w:rPr>
      <w:rFonts w:ascii="Tahoma" w:hAnsi="Tahoma" w:eastAsia="Times New Roman" w:cs="Tahoma"/>
      <w:sz w:val="16"/>
      <w:szCs w:val="16"/>
      <w:lang w:eastAsia="ru-RU"/>
    </w:rPr>
  </w:style>
  <w:style w:type="character" w:styleId="21" w:customStyle="1">
    <w:name w:val="Основной текст 2 Знак"/>
    <w:basedOn w:val="DefaultParagraphFont"/>
    <w:link w:val="BodyText2"/>
    <w:qFormat/>
    <w:rsid w:val="00886f70"/>
    <w:rPr>
      <w:rFonts w:ascii="Times New Roman" w:hAnsi="Times New Roman" w:eastAsia="Times New Roman" w:cs="Times New Roman"/>
      <w:sz w:val="24"/>
      <w:szCs w:val="24"/>
      <w:lang w:eastAsia="ru-RU"/>
    </w:rPr>
  </w:style>
  <w:style w:type="character" w:styleId="Style8" w:customStyle="1">
    <w:name w:val="Основной текст Знак"/>
    <w:basedOn w:val="DefaultParagraphFont"/>
    <w:qFormat/>
    <w:rsid w:val="00886f70"/>
    <w:rPr>
      <w:rFonts w:ascii="Times New Roman" w:hAnsi="Times New Roman" w:eastAsia="Times New Roman" w:cs="Times New Roman"/>
      <w:sz w:val="20"/>
      <w:szCs w:val="20"/>
      <w:lang w:eastAsia="ru-RU"/>
    </w:rPr>
  </w:style>
  <w:style w:type="character" w:styleId="Style9" w:customStyle="1">
    <w:name w:val="Нижний колонтитул Знак"/>
    <w:basedOn w:val="DefaultParagraphFont"/>
    <w:uiPriority w:val="99"/>
    <w:qFormat/>
    <w:rsid w:val="00886f70"/>
    <w:rPr>
      <w:rFonts w:ascii="Times New Roman" w:hAnsi="Times New Roman" w:eastAsia="Times New Roman" w:cs="Times New Roman"/>
      <w:sz w:val="20"/>
      <w:szCs w:val="20"/>
      <w:lang w:eastAsia="ru-RU"/>
    </w:rPr>
  </w:style>
  <w:style w:type="character" w:styleId="Pagenumber">
    <w:name w:val="page number"/>
    <w:basedOn w:val="DefaultParagraphFont"/>
    <w:qFormat/>
    <w:rsid w:val="00886f70"/>
    <w:rPr/>
  </w:style>
  <w:style w:type="character" w:styleId="31" w:customStyle="1">
    <w:name w:val="Основной текст 3 Знак"/>
    <w:basedOn w:val="DefaultParagraphFont"/>
    <w:link w:val="BodyText3"/>
    <w:qFormat/>
    <w:rsid w:val="00886f70"/>
    <w:rPr>
      <w:rFonts w:ascii="Times New Roman" w:hAnsi="Times New Roman" w:eastAsia="Times New Roman" w:cs="Times New Roman"/>
      <w:sz w:val="16"/>
      <w:szCs w:val="16"/>
      <w:lang w:val="x-none" w:eastAsia="x-none"/>
    </w:rPr>
  </w:style>
  <w:style w:type="character" w:styleId="Annotationreference">
    <w:name w:val="annotation reference"/>
    <w:qFormat/>
    <w:rsid w:val="00886f70"/>
    <w:rPr>
      <w:sz w:val="16"/>
      <w:szCs w:val="16"/>
    </w:rPr>
  </w:style>
  <w:style w:type="character" w:styleId="Style10" w:customStyle="1">
    <w:name w:val="Текст примечания Знак"/>
    <w:basedOn w:val="DefaultParagraphFont"/>
    <w:link w:val="Annotationtext"/>
    <w:qFormat/>
    <w:rsid w:val="00886f70"/>
    <w:rPr>
      <w:rFonts w:ascii="Times New Roman" w:hAnsi="Times New Roman" w:eastAsia="Times New Roman" w:cs="Times New Roman"/>
      <w:sz w:val="20"/>
      <w:szCs w:val="20"/>
      <w:lang w:eastAsia="ru-RU"/>
    </w:rPr>
  </w:style>
  <w:style w:type="character" w:styleId="Style11" w:customStyle="1">
    <w:name w:val="Тема примечания Знак"/>
    <w:basedOn w:val="Style10"/>
    <w:link w:val="Annotationsubject"/>
    <w:qFormat/>
    <w:rsid w:val="00886f70"/>
    <w:rPr>
      <w:rFonts w:ascii="Times New Roman" w:hAnsi="Times New Roman" w:eastAsia="Times New Roman" w:cs="Times New Roman"/>
      <w:b/>
      <w:bCs/>
      <w:sz w:val="20"/>
      <w:szCs w:val="20"/>
      <w:lang w:val="x-none" w:eastAsia="x-none"/>
    </w:rPr>
  </w:style>
  <w:style w:type="character" w:styleId="Style12" w:customStyle="1">
    <w:name w:val="Основной текст с отступом Знак"/>
    <w:basedOn w:val="DefaultParagraphFont"/>
    <w:qFormat/>
    <w:rsid w:val="00886f70"/>
    <w:rPr>
      <w:rFonts w:ascii="Times New Roman" w:hAnsi="Times New Roman" w:eastAsia="Times New Roman" w:cs="Times New Roman"/>
      <w:sz w:val="20"/>
      <w:szCs w:val="20"/>
      <w:lang w:eastAsia="ru-RU"/>
    </w:rPr>
  </w:style>
  <w:style w:type="character" w:styleId="Style13" w:customStyle="1">
    <w:name w:val="комментарий"/>
    <w:uiPriority w:val="99"/>
    <w:qFormat/>
    <w:rsid w:val="00886f70"/>
    <w:rPr>
      <w:rFonts w:cs="Times New Roman"/>
      <w:b/>
      <w:bCs/>
      <w:i/>
      <w:iCs/>
      <w:shd w:fill="FFFF99" w:val="clear"/>
    </w:rPr>
  </w:style>
  <w:style w:type="character" w:styleId="Style14" w:customStyle="1">
    <w:name w:val="Текст сноски Знак"/>
    <w:basedOn w:val="DefaultParagraphFont"/>
    <w:uiPriority w:val="99"/>
    <w:qFormat/>
    <w:rsid w:val="00886f70"/>
    <w:rPr>
      <w:rFonts w:ascii="Times New Roman" w:hAnsi="Times New Roman" w:eastAsia="Times New Roman" w:cs="Times New Roman"/>
      <w:sz w:val="20"/>
      <w:szCs w:val="20"/>
      <w:lang w:eastAsia="ru-RU"/>
    </w:rPr>
  </w:style>
  <w:style w:type="character" w:styleId="Style15" w:customStyle="1">
    <w:name w:val="Символ сноски"/>
    <w:uiPriority w:val="99"/>
    <w:qFormat/>
    <w:rsid w:val="00886f70"/>
    <w:rPr>
      <w:vertAlign w:val="superscript"/>
    </w:rPr>
  </w:style>
  <w:style w:type="character" w:styleId="FootnoteReference">
    <w:name w:val="Footnote Reference"/>
    <w:rPr>
      <w:vertAlign w:val="superscript"/>
    </w:rPr>
  </w:style>
  <w:style w:type="character" w:styleId="Style16" w:customStyle="1">
    <w:name w:val="Схема документа Знак"/>
    <w:basedOn w:val="DefaultParagraphFont"/>
    <w:link w:val="DocumentMap"/>
    <w:semiHidden/>
    <w:qFormat/>
    <w:rsid w:val="00886f70"/>
    <w:rPr>
      <w:rFonts w:ascii="Tahoma" w:hAnsi="Tahoma" w:eastAsia="Times New Roman" w:cs="Tahoma"/>
      <w:sz w:val="20"/>
      <w:szCs w:val="20"/>
      <w:shd w:fill="000080" w:val="clear"/>
      <w:lang w:eastAsia="ru-RU"/>
    </w:rPr>
  </w:style>
  <w:style w:type="character" w:styleId="Style17" w:customStyle="1">
    <w:name w:val="Верхний колонтитул Знак"/>
    <w:basedOn w:val="DefaultParagraphFont"/>
    <w:qFormat/>
    <w:rsid w:val="00886f70"/>
    <w:rPr>
      <w:rFonts w:ascii="Times New Roman" w:hAnsi="Times New Roman" w:eastAsia="Times New Roman" w:cs="Times New Roman"/>
      <w:sz w:val="20"/>
      <w:szCs w:val="20"/>
      <w:lang w:eastAsia="ru-RU"/>
    </w:rPr>
  </w:style>
  <w:style w:type="character" w:styleId="Hyperlink">
    <w:name w:val="Hyperlink"/>
    <w:rsid w:val="00886f70"/>
    <w:rPr>
      <w:color w:val="0000FF"/>
      <w:u w:val="single"/>
    </w:rPr>
  </w:style>
  <w:style w:type="character" w:styleId="Style18" w:customStyle="1">
    <w:name w:val="Абзац списка Знак"/>
    <w:link w:val="ListParagraph"/>
    <w:uiPriority w:val="34"/>
    <w:qFormat/>
    <w:locked/>
    <w:rsid w:val="00b80bab"/>
    <w:rPr>
      <w:rFonts w:ascii="Times New Roman" w:hAnsi="Times New Roman" w:eastAsia="Times New Roman" w:cs="Times New Roman"/>
      <w:sz w:val="20"/>
      <w:szCs w:val="20"/>
      <w:lang w:eastAsia="ru-RU"/>
    </w:rPr>
  </w:style>
  <w:style w:type="character" w:styleId="32" w:customStyle="1">
    <w:name w:val="Основной текст с отступом 3 Знак"/>
    <w:basedOn w:val="DefaultParagraphFont"/>
    <w:link w:val="BodyTextIndent3"/>
    <w:uiPriority w:val="99"/>
    <w:semiHidden/>
    <w:qFormat/>
    <w:rsid w:val="00b209b6"/>
    <w:rPr>
      <w:rFonts w:ascii="Times New Roman" w:hAnsi="Times New Roman" w:eastAsia="Times New Roman" w:cs="Times New Roman"/>
      <w:sz w:val="16"/>
      <w:szCs w:val="16"/>
      <w:lang w:eastAsia="ru-RU"/>
    </w:rPr>
  </w:style>
  <w:style w:type="character" w:styleId="22" w:customStyle="1">
    <w:name w:val="Заголовок 2 Знак"/>
    <w:basedOn w:val="DefaultParagraphFont"/>
    <w:uiPriority w:val="9"/>
    <w:semiHidden/>
    <w:qFormat/>
    <w:rsid w:val="00370cfe"/>
    <w:rPr>
      <w:rFonts w:ascii="Calibri Light" w:hAnsi="Calibri Light" w:eastAsia="" w:cs="" w:asciiTheme="majorHAnsi" w:cstheme="majorBidi" w:eastAsiaTheme="majorEastAsia" w:hAnsiTheme="majorHAnsi"/>
      <w:color w:val="2E74B5" w:themeColor="accent1" w:themeShade="bf"/>
      <w:sz w:val="26"/>
      <w:szCs w:val="26"/>
      <w:lang w:eastAsia="ru-RU"/>
    </w:rPr>
  </w:style>
  <w:style w:type="character" w:styleId="Style19" w:customStyle="1">
    <w:name w:val="Символ концевой сноски"/>
    <w:qFormat/>
    <w:rPr>
      <w:vertAlign w:val="superscript"/>
    </w:rPr>
  </w:style>
  <w:style w:type="character" w:styleId="EndnoteReference">
    <w:name w:val="Endnote Reference"/>
    <w:rPr>
      <w:vertAlign w:val="superscript"/>
    </w:rPr>
  </w:style>
  <w:style w:type="character" w:styleId="Linenumber1" w:customStyle="1">
    <w:name w:val="line number1"/>
    <w:qFormat/>
    <w:rPr/>
  </w:style>
  <w:style w:type="character" w:styleId="Linenumber">
    <w:name w:val="line number"/>
    <w:qFormat/>
    <w:rPr/>
  </w:style>
  <w:style w:type="paragraph" w:styleId="Style20">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Style8"/>
    <w:rsid w:val="00886f70"/>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21">
    <w:name w:val="Указатель"/>
    <w:basedOn w:val="Normal"/>
    <w:qFormat/>
    <w:pPr>
      <w:suppressLineNumbers/>
    </w:pPr>
    <w:rPr/>
  </w:style>
  <w:style w:type="paragraph" w:styleId="Title">
    <w:name w:val="Title"/>
    <w:basedOn w:val="Normal"/>
    <w:next w:val="BodyText"/>
    <w:link w:val="Style6"/>
    <w:qFormat/>
    <w:rsid w:val="00886f70"/>
    <w:pPr>
      <w:jc w:val="center"/>
    </w:pPr>
    <w:rPr>
      <w:b/>
      <w:bCs/>
      <w:sz w:val="24"/>
      <w:szCs w:val="24"/>
    </w:rPr>
  </w:style>
  <w:style w:type="paragraph" w:styleId="Caption1">
    <w:name w:val="caption1"/>
    <w:basedOn w:val="Normal"/>
    <w:qFormat/>
    <w:pPr>
      <w:suppressLineNumbers/>
      <w:spacing w:before="120" w:after="120"/>
    </w:pPr>
    <w:rPr>
      <w:i/>
      <w:iCs/>
      <w:sz w:val="24"/>
      <w:szCs w:val="24"/>
    </w:rPr>
  </w:style>
  <w:style w:type="paragraph" w:styleId="Indexheading">
    <w:name w:val="index heading"/>
    <w:basedOn w:val="Normal"/>
    <w:qFormat/>
    <w:pPr>
      <w:suppressLineNumbers/>
    </w:pPr>
    <w:rPr/>
  </w:style>
  <w:style w:type="paragraph" w:styleId="Caption11" w:customStyle="1">
    <w:name w:val="caption11"/>
    <w:basedOn w:val="Normal"/>
    <w:qFormat/>
    <w:pPr>
      <w:suppressLineNumbers/>
      <w:spacing w:before="120" w:after="120"/>
    </w:pPr>
    <w:rPr>
      <w:i/>
      <w:iCs/>
      <w:sz w:val="24"/>
      <w:szCs w:val="24"/>
    </w:rPr>
  </w:style>
  <w:style w:type="paragraph" w:styleId="Caption111" w:customStyle="1">
    <w:name w:val="caption111"/>
    <w:basedOn w:val="Normal"/>
    <w:qFormat/>
    <w:pPr>
      <w:suppressLineNumbers/>
      <w:spacing w:before="120" w:after="120"/>
    </w:pPr>
    <w:rPr>
      <w:i/>
      <w:iCs/>
      <w:sz w:val="24"/>
      <w:szCs w:val="24"/>
    </w:rPr>
  </w:style>
  <w:style w:type="paragraph" w:styleId="Caption1111" w:customStyle="1">
    <w:name w:val="caption1111"/>
    <w:basedOn w:val="Normal"/>
    <w:qFormat/>
    <w:pPr>
      <w:suppressLineNumbers/>
      <w:spacing w:before="120" w:after="120"/>
    </w:pPr>
    <w:rPr>
      <w:i/>
      <w:iCs/>
      <w:sz w:val="24"/>
      <w:szCs w:val="24"/>
    </w:rPr>
  </w:style>
  <w:style w:type="paragraph" w:styleId="Style22" w:customStyle="1">
    <w:name w:val="Таблицы (моноширинный)"/>
    <w:basedOn w:val="Normal"/>
    <w:next w:val="Normal"/>
    <w:qFormat/>
    <w:rsid w:val="00886f70"/>
    <w:pPr>
      <w:jc w:val="both"/>
    </w:pPr>
    <w:rPr>
      <w:rFonts w:ascii="Courier New" w:hAnsi="Courier New" w:cs="Courier New"/>
    </w:rPr>
  </w:style>
  <w:style w:type="paragraph" w:styleId="BodyTextIndent2">
    <w:name w:val="Body Text Indent 2"/>
    <w:basedOn w:val="Normal"/>
    <w:link w:val="2"/>
    <w:qFormat/>
    <w:rsid w:val="00886f70"/>
    <w:pPr>
      <w:ind w:left="1843" w:hanging="0"/>
      <w:jc w:val="both"/>
    </w:pPr>
    <w:rPr>
      <w:sz w:val="24"/>
    </w:rPr>
  </w:style>
  <w:style w:type="paragraph" w:styleId="BalloonText">
    <w:name w:val="Balloon Text"/>
    <w:basedOn w:val="Normal"/>
    <w:link w:val="Style7"/>
    <w:semiHidden/>
    <w:qFormat/>
    <w:rsid w:val="00886f70"/>
    <w:pPr/>
    <w:rPr>
      <w:rFonts w:ascii="Tahoma" w:hAnsi="Tahoma" w:cs="Tahoma"/>
      <w:sz w:val="16"/>
      <w:szCs w:val="16"/>
    </w:rPr>
  </w:style>
  <w:style w:type="paragraph" w:styleId="BodyText2">
    <w:name w:val="Body Text 2"/>
    <w:basedOn w:val="Normal"/>
    <w:link w:val="21"/>
    <w:qFormat/>
    <w:rsid w:val="00886f70"/>
    <w:pPr>
      <w:widowControl/>
      <w:spacing w:lineRule="auto" w:line="480" w:before="0" w:after="120"/>
    </w:pPr>
    <w:rPr>
      <w:sz w:val="24"/>
      <w:szCs w:val="24"/>
    </w:rPr>
  </w:style>
  <w:style w:type="paragraph" w:styleId="Style23" w:customStyle="1">
    <w:name w:val="Колонтитул"/>
    <w:basedOn w:val="Normal"/>
    <w:qFormat/>
    <w:pPr/>
    <w:rPr/>
  </w:style>
  <w:style w:type="paragraph" w:styleId="Footer">
    <w:name w:val="Footer"/>
    <w:basedOn w:val="Normal"/>
    <w:link w:val="Style9"/>
    <w:uiPriority w:val="99"/>
    <w:rsid w:val="00886f70"/>
    <w:pPr>
      <w:tabs>
        <w:tab w:val="clear" w:pos="708"/>
        <w:tab w:val="center" w:pos="4677" w:leader="none"/>
        <w:tab w:val="right" w:pos="9355" w:leader="none"/>
      </w:tabs>
    </w:pPr>
    <w:rPr/>
  </w:style>
  <w:style w:type="paragraph" w:styleId="BodyText3">
    <w:name w:val="Body Text 3"/>
    <w:basedOn w:val="Normal"/>
    <w:link w:val="31"/>
    <w:qFormat/>
    <w:rsid w:val="00886f70"/>
    <w:pPr>
      <w:spacing w:before="0" w:after="120"/>
    </w:pPr>
    <w:rPr>
      <w:sz w:val="16"/>
      <w:szCs w:val="16"/>
      <w:lang w:val="x-none" w:eastAsia="x-none"/>
    </w:rPr>
  </w:style>
  <w:style w:type="paragraph" w:styleId="Annotationtext">
    <w:name w:val="annotation text"/>
    <w:basedOn w:val="Normal"/>
    <w:link w:val="Style10"/>
    <w:qFormat/>
    <w:rsid w:val="00886f70"/>
    <w:pPr/>
    <w:rPr/>
  </w:style>
  <w:style w:type="paragraph" w:styleId="Annotationsubject">
    <w:name w:val="annotation subject"/>
    <w:basedOn w:val="Annotationtext"/>
    <w:next w:val="Annotationtext"/>
    <w:link w:val="Style11"/>
    <w:qFormat/>
    <w:rsid w:val="00886f70"/>
    <w:pPr/>
    <w:rPr>
      <w:b/>
      <w:bCs/>
      <w:lang w:val="x-none" w:eastAsia="x-none"/>
    </w:rPr>
  </w:style>
  <w:style w:type="paragraph" w:styleId="ListParagraph">
    <w:name w:val="List Paragraph"/>
    <w:basedOn w:val="Normal"/>
    <w:link w:val="Style18"/>
    <w:uiPriority w:val="34"/>
    <w:qFormat/>
    <w:rsid w:val="00886f70"/>
    <w:pPr>
      <w:spacing w:before="0" w:after="0"/>
      <w:ind w:left="720" w:hanging="0"/>
      <w:contextualSpacing/>
    </w:pPr>
    <w:rPr/>
  </w:style>
  <w:style w:type="paragraph" w:styleId="Style24" w:customStyle="1">
    <w:name w:val="Знак Знак Знак Знак Знак Знак Знак Знак Знак"/>
    <w:basedOn w:val="Normal"/>
    <w:uiPriority w:val="99"/>
    <w:qFormat/>
    <w:rsid w:val="00886f70"/>
    <w:pPr>
      <w:widowControl/>
      <w:spacing w:lineRule="exact" w:line="240" w:before="0" w:after="160"/>
      <w:jc w:val="both"/>
    </w:pPr>
    <w:rPr>
      <w:rFonts w:ascii="Verdana" w:hAnsi="Verdana"/>
      <w:sz w:val="22"/>
      <w:lang w:val="en-US" w:eastAsia="en-US"/>
    </w:rPr>
  </w:style>
  <w:style w:type="paragraph" w:styleId="Style25" w:customStyle="1">
    <w:name w:val="Подпункт договора"/>
    <w:basedOn w:val="Normal"/>
    <w:qFormat/>
    <w:rsid w:val="00886f70"/>
    <w:pPr>
      <w:widowControl/>
      <w:tabs>
        <w:tab w:val="clear" w:pos="708"/>
        <w:tab w:val="left" w:pos="360" w:leader="none"/>
      </w:tabs>
      <w:jc w:val="both"/>
    </w:pPr>
    <w:rPr>
      <w:rFonts w:ascii="Arial" w:hAnsi="Arial"/>
    </w:rPr>
  </w:style>
  <w:style w:type="paragraph" w:styleId="ConsNormal" w:customStyle="1">
    <w:name w:val="ConsNormal"/>
    <w:qFormat/>
    <w:rsid w:val="00886f70"/>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odyTextIndent">
    <w:name w:val="Body Text Indent"/>
    <w:basedOn w:val="Normal"/>
    <w:link w:val="Style12"/>
    <w:rsid w:val="00886f70"/>
    <w:pPr>
      <w:spacing w:before="0" w:after="120"/>
      <w:ind w:left="283" w:hanging="0"/>
    </w:pPr>
    <w:rPr/>
  </w:style>
  <w:style w:type="paragraph" w:styleId="Style26" w:customStyle="1">
    <w:name w:val="Знак"/>
    <w:basedOn w:val="Normal"/>
    <w:qFormat/>
    <w:rsid w:val="00886f70"/>
    <w:pPr>
      <w:widowControl/>
      <w:spacing w:lineRule="exact" w:line="240" w:before="0" w:after="160"/>
    </w:pPr>
    <w:rPr>
      <w:rFonts w:ascii="Verdana" w:hAnsi="Verdana" w:cs="Verdana"/>
      <w:lang w:val="en-US" w:eastAsia="en-US"/>
    </w:rPr>
  </w:style>
  <w:style w:type="paragraph" w:styleId="FootnoteText">
    <w:name w:val="Footnote Text"/>
    <w:basedOn w:val="Normal"/>
    <w:link w:val="Style14"/>
    <w:uiPriority w:val="99"/>
    <w:rsid w:val="00886f70"/>
    <w:pPr/>
    <w:rPr/>
  </w:style>
  <w:style w:type="paragraph" w:styleId="ListBullet3">
    <w:name w:val="List Bullet 3"/>
    <w:basedOn w:val="Normal"/>
    <w:uiPriority w:val="99"/>
    <w:unhideWhenUsed/>
    <w:qFormat/>
    <w:rsid w:val="00886f70"/>
    <w:pPr>
      <w:widowControl/>
      <w:tabs>
        <w:tab w:val="clear" w:pos="708"/>
        <w:tab w:val="left" w:pos="1418" w:leader="none"/>
      </w:tabs>
      <w:spacing w:lineRule="auto" w:line="360" w:before="120" w:after="0"/>
      <w:ind w:firstLine="720"/>
      <w:jc w:val="both"/>
    </w:pPr>
    <w:rPr>
      <w:rFonts w:eastAsia="Calibri"/>
      <w:i/>
      <w:iCs/>
      <w:sz w:val="24"/>
      <w:szCs w:val="24"/>
    </w:rPr>
  </w:style>
  <w:style w:type="paragraph" w:styleId="-" w:customStyle="1">
    <w:name w:val="Контракт-пункт"/>
    <w:basedOn w:val="Normal"/>
    <w:qFormat/>
    <w:rsid w:val="00886f70"/>
    <w:pPr>
      <w:widowControl/>
      <w:tabs>
        <w:tab w:val="clear" w:pos="708"/>
        <w:tab w:val="left" w:pos="851" w:leader="none"/>
      </w:tabs>
      <w:spacing w:lineRule="auto" w:line="360"/>
      <w:ind w:left="851" w:hanging="851"/>
      <w:jc w:val="both"/>
    </w:pPr>
    <w:rPr>
      <w:rFonts w:eastAsia="Calibri"/>
      <w:sz w:val="28"/>
      <w:szCs w:val="28"/>
    </w:rPr>
  </w:style>
  <w:style w:type="paragraph" w:styleId="DocumentMap">
    <w:name w:val="Document Map"/>
    <w:basedOn w:val="Normal"/>
    <w:link w:val="Style16"/>
    <w:semiHidden/>
    <w:qFormat/>
    <w:rsid w:val="00886f70"/>
    <w:pPr>
      <w:shd w:val="clear" w:color="auto" w:fill="000080"/>
    </w:pPr>
    <w:rPr>
      <w:rFonts w:ascii="Tahoma" w:hAnsi="Tahoma" w:cs="Tahoma"/>
    </w:rPr>
  </w:style>
  <w:style w:type="paragraph" w:styleId="Revision">
    <w:name w:val="Revision"/>
    <w:uiPriority w:val="99"/>
    <w:semiHidden/>
    <w:qFormat/>
    <w:rsid w:val="00886f70"/>
    <w:pPr>
      <w:widowControl/>
      <w:suppressAutoHyphens w:val="true"/>
      <w:bidi w:val="0"/>
      <w:spacing w:before="0" w:after="0"/>
      <w:jc w:val="left"/>
    </w:pPr>
    <w:rPr>
      <w:rFonts w:ascii="Times New Roman" w:hAnsi="Times New Roman" w:eastAsia="Times New Roman" w:cs="Times New Roman"/>
      <w:color w:val="auto"/>
      <w:kern w:val="0"/>
      <w:sz w:val="20"/>
      <w:szCs w:val="20"/>
      <w:lang w:eastAsia="ru-RU" w:val="ru-RU" w:bidi="ar-SA"/>
    </w:rPr>
  </w:style>
  <w:style w:type="paragraph" w:styleId="Header">
    <w:name w:val="Header"/>
    <w:basedOn w:val="Normal"/>
    <w:link w:val="Style17"/>
    <w:rsid w:val="00886f70"/>
    <w:pPr>
      <w:tabs>
        <w:tab w:val="clear" w:pos="708"/>
        <w:tab w:val="center" w:pos="4677" w:leader="none"/>
        <w:tab w:val="right" w:pos="9355" w:leader="none"/>
      </w:tabs>
    </w:pPr>
    <w:rPr/>
  </w:style>
  <w:style w:type="paragraph" w:styleId="Style27" w:customStyle="1">
    <w:name w:val="Пункт договора"/>
    <w:basedOn w:val="Normal"/>
    <w:qFormat/>
    <w:rsid w:val="00886f70"/>
    <w:pPr>
      <w:jc w:val="both"/>
    </w:pPr>
    <w:rPr>
      <w:rFonts w:ascii="Arial" w:hAnsi="Arial"/>
    </w:rPr>
  </w:style>
  <w:style w:type="paragraph" w:styleId="11" w:customStyle="1">
    <w:name w:val="Знак Знак Знак Знак Знак Знак Знак Знак Знак1"/>
    <w:basedOn w:val="Normal"/>
    <w:qFormat/>
    <w:rsid w:val="00886f70"/>
    <w:pPr>
      <w:widowControl/>
      <w:spacing w:lineRule="exact" w:line="240" w:before="0" w:after="160"/>
      <w:jc w:val="both"/>
    </w:pPr>
    <w:rPr>
      <w:rFonts w:ascii="Verdana" w:hAnsi="Verdana"/>
      <w:sz w:val="22"/>
      <w:lang w:val="en-US" w:eastAsia="en-US"/>
    </w:rPr>
  </w:style>
  <w:style w:type="paragraph" w:styleId="12" w:customStyle="1">
    <w:name w:val="Обычный1"/>
    <w:qFormat/>
    <w:rsid w:val="00886f70"/>
    <w:pPr>
      <w:widowControl/>
      <w:suppressAutoHyphens w:val="true"/>
      <w:bidi w:val="0"/>
      <w:spacing w:before="0" w:after="0"/>
      <w:jc w:val="left"/>
    </w:pPr>
    <w:rPr>
      <w:rFonts w:ascii="Times New Roman" w:hAnsi="Times New Roman" w:eastAsia="Times New Roman" w:cs="Times New Roman"/>
      <w:color w:val="auto"/>
      <w:kern w:val="0"/>
      <w:sz w:val="20"/>
      <w:szCs w:val="20"/>
      <w:lang w:eastAsia="ru-RU" w:val="ru-RU" w:bidi="ar-SA"/>
    </w:rPr>
  </w:style>
  <w:style w:type="paragraph" w:styleId="ConsPlusNormal" w:customStyle="1">
    <w:name w:val="ConsPlusNormal"/>
    <w:qFormat/>
    <w:rsid w:val="00886f70"/>
    <w:pPr>
      <w:widowControl w:val="false"/>
      <w:suppressAutoHyphens w:val="true"/>
      <w:bidi w:val="0"/>
      <w:spacing w:before="0" w:after="0"/>
      <w:jc w:val="left"/>
    </w:pPr>
    <w:rPr>
      <w:rFonts w:eastAsia="Times New Roman" w:cs="Calibri" w:ascii="Calibri" w:hAnsi="Calibri" w:asciiTheme="minorHAnsi" w:hAnsiTheme="minorHAnsi"/>
      <w:color w:val="auto"/>
      <w:kern w:val="0"/>
      <w:sz w:val="22"/>
      <w:szCs w:val="20"/>
      <w:lang w:eastAsia="ru-RU" w:val="ru-RU" w:bidi="ar-SA"/>
    </w:rPr>
  </w:style>
  <w:style w:type="paragraph" w:styleId="BodyTextIndent3">
    <w:name w:val="Body Text Indent 3"/>
    <w:basedOn w:val="Normal"/>
    <w:link w:val="32"/>
    <w:uiPriority w:val="99"/>
    <w:semiHidden/>
    <w:unhideWhenUsed/>
    <w:qFormat/>
    <w:rsid w:val="00b209b6"/>
    <w:pPr>
      <w:spacing w:before="0" w:after="120"/>
      <w:ind w:left="360" w:hanging="0"/>
    </w:pPr>
    <w:rPr>
      <w:sz w:val="16"/>
      <w:szCs w:val="16"/>
    </w:rPr>
  </w:style>
  <w:style w:type="paragraph" w:styleId="Default" w:customStyle="1">
    <w:name w:val="Default"/>
    <w:qFormat/>
    <w:rsid w:val="00b201da"/>
    <w:pPr>
      <w:widowControl/>
      <w:suppressAutoHyphens w:val="true"/>
      <w:bidi w:val="0"/>
      <w:spacing w:before="0" w:after="0"/>
      <w:jc w:val="left"/>
    </w:pPr>
    <w:rPr>
      <w:rFonts w:ascii="Times New Roman" w:hAnsi="Times New Roman" w:eastAsia="Calibri" w:cs="Times New Roman"/>
      <w:color w:val="000000"/>
      <w:kern w:val="0"/>
      <w:sz w:val="24"/>
      <w:szCs w:val="24"/>
      <w:lang w:val="ru-RU" w:eastAsia="en-US"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c">
    <w:name w:val="Table Grid"/>
    <w:basedOn w:val="a1"/>
    <w:rsid w:val="00886f70"/>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header" Target="header3.xml"/><Relationship Id="rId9" Type="http://schemas.openxmlformats.org/officeDocument/2006/relationships/header" Target="header4.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header" Target="header5.xml"/><Relationship Id="rId13" Type="http://schemas.openxmlformats.org/officeDocument/2006/relationships/header" Target="header6.xml"/><Relationship Id="rId14" Type="http://schemas.openxmlformats.org/officeDocument/2006/relationships/footer" Target="footer4.xml"/><Relationship Id="rId15" Type="http://schemas.openxmlformats.org/officeDocument/2006/relationships/footer" Target="footer5.xml"/><Relationship Id="rId16" Type="http://schemas.openxmlformats.org/officeDocument/2006/relationships/header" Target="header7.xml"/><Relationship Id="rId17" Type="http://schemas.openxmlformats.org/officeDocument/2006/relationships/header" Target="header8.xml"/><Relationship Id="rId18" Type="http://schemas.openxmlformats.org/officeDocument/2006/relationships/footer" Target="footer6.xml"/><Relationship Id="rId19" Type="http://schemas.openxmlformats.org/officeDocument/2006/relationships/footer" Target="footer7.xml"/><Relationship Id="rId20" Type="http://schemas.openxmlformats.org/officeDocument/2006/relationships/header" Target="header9.xml"/><Relationship Id="rId21" Type="http://schemas.openxmlformats.org/officeDocument/2006/relationships/header" Target="header10.xml"/><Relationship Id="rId22" Type="http://schemas.openxmlformats.org/officeDocument/2006/relationships/footer" Target="footer8.xml"/><Relationship Id="rId23" Type="http://schemas.openxmlformats.org/officeDocument/2006/relationships/footer" Target="footer9.xml"/><Relationship Id="rId24" Type="http://schemas.openxmlformats.org/officeDocument/2006/relationships/footnotes" Target="footnotes.xml"/><Relationship Id="rId25" Type="http://schemas.openxmlformats.org/officeDocument/2006/relationships/numbering" Target="numbering.xml"/><Relationship Id="rId26" Type="http://schemas.openxmlformats.org/officeDocument/2006/relationships/fontTable" Target="fontTable.xml"/><Relationship Id="rId27" Type="http://schemas.openxmlformats.org/officeDocument/2006/relationships/settings" Target="settings.xml"/><Relationship Id="rId28" Type="http://schemas.openxmlformats.org/officeDocument/2006/relationships/theme" Target="theme/theme1.xml"/><Relationship Id="rId29" Type="http://schemas.openxmlformats.org/officeDocument/2006/relationships/customXml" Target="../customXml/item1.xml"/><Relationship Id="rId30" Type="http://schemas.openxmlformats.org/officeDocument/2006/relationships/customXml" Target="../customXml/item2.xml"/><Relationship Id="rId31" Type="http://schemas.openxmlformats.org/officeDocument/2006/relationships/customXml" Target="../customXml/item3.xml"/><Relationship Id="rId32"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085CE-3EE5-4257-A854-521088406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3B29469-CEFB-4C63-A023-2AFB44A96B18}">
  <ds:schemaRefs>
    <ds:schemaRef ds:uri="http://schemas.microsoft.com/sharepoint/v3/contenttype/forms"/>
  </ds:schemaRefs>
</ds:datastoreItem>
</file>

<file path=customXml/itemProps3.xml><?xml version="1.0" encoding="utf-8"?>
<ds:datastoreItem xmlns:ds="http://schemas.openxmlformats.org/officeDocument/2006/customXml" ds:itemID="{95CAEEA5-E2B6-4B76-A826-4F29FF9531A3}">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0753C19E-0DA2-477F-8CB3-7AB256B39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Application>AlterOffice/3.4.0.9$Linux_X86_64 LibreOffice_project/b8daf9e823b1a5463a2f48435ddc2e8696e7d4fc</Application>
  <AppVersion>15.0000</AppVersion>
  <Pages>18</Pages>
  <Words>6993</Words>
  <Characters>49328</Characters>
  <CharactersWithSpaces>56080</CharactersWithSpaces>
  <Paragraphs>333</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2026-04-09T03:03:00Z</dcterms:created>
  <dc:creator>Быстрова Дарья Андреевна</dc:creator>
  <dc:description/>
  <dc:language>ru-RU</dc:language>
  <cp:lastModifiedBy>mikhailovvv@corp.gidroogk.com</cp:lastModifiedBy>
  <dcterms:modified xsi:type="dcterms:W3CDTF">2026-05-06T10:08:47Z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